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line="320"/>
      </w:pPr>
      <w:r>
        <w:rPr>
          <w:rFonts w:ascii="Arial"/>
          <w:b/>
          <w:bCs/>
          <w:color w:val="2C3C66"/>
          <w:sz w:val="32"/>
          <w:szCs w:val="32"/>
        </w:rPr>
        <w:t xml:space="preserve">Data-Center Rack Selection: 8 Structural Acceptance Criteria (From Cooling to EMC Shielding) — 2026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Audience: data-center operations, IDC procurement, cloud infrastructure engineers, integrator structural engineers.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Purpose: reference for structural-component procurement — 19" server racks and industrial cabinets. Excludes PDU, UPS, precision cooling and other active equipment.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One: Why Rack Procurement Isn't "Any 42U Will Do"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Data centers have shifted from traditional enterprise machine rooms to AI training clusters, edge computing, and hybrid cloud. A rack is no longer just "a shelf that holds servers." It is: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The first stage of cooling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hot-aisle/cold-aisle containment, airflow direction, blank-panel density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The load-bearing frame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a fully loaded rack now weighs 1500-2000 kg (higher for AI clusters); static deflection and seismic rating directly affect 5-10 year stability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An electrical safety barrier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grounding continuity, EMC shielding (mandatory for finance / defense / medical data centers)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The operations enabler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cable management, quick-release rails, rail compatibility, lock management</w:t>
      </w:r>
    </w:p>
    <w:p>
      <w:pPr>
        <w:spacing w:after="120" w:line="312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Off-the-shelf commodity racks won't satisfy these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the supplier's sheet metal process, welding standard and surface finish directly determine the machine room's stability over its 5-10 year life cycle.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Two: Six Specifications to Lock In Before Talking to Suppliers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Align internally on these six before RFQ, to avoid rework later: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Size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common heights 42U / 47U / 48U / 52U; widths 600 / 750 / 800mm; depths 1000 / 1100 / 1200mm.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Depth is driven by longest server + front/rear cable routing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(AI servers are commonly 900+ mm deep).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Static load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standard racks are rated 800-1000 kg; AI/GPU cluster racks need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1500 kg+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ask for a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third-party load-test report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, not just the spec sheet.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Door type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perforated (cooling priority) / glass (aesthetics, monitoring-friendly) / solid (dust or EMC).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Perforation ratio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perforated doors should be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≥ 65%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; below that, airflow resistance rises sharply. Also count the roof fan positions (2 / 4 / 6).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Cable routing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top-in (overhead) or bottom-in (underfloor, requires anti-static flooring) + number of side cable managers.</w:t>
      </w:r>
    </w:p>
    <w:p>
      <w:pPr>
        <w:pStyle w:val="ListParagraph"/>
        <w:numPr>
          <w:ilvl w:val="0"/>
          <w:numId w:val="2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Grounding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equipotential ground bar + count of static-discharge terminals + grounding resistance ≤ 0.1 Ω.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Three: Eight Acceptance Criteria (The Real Test of Supplier Craftsmanship)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When receiving a sample rack or first batch, check each item: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100"/>
        <w:gridCol w:w="3400"/>
        <w:gridCol w:w="2826"/>
      </w:tblGrid>
      <w:tr>
        <w:trPr>
          <w:tblHeader/>
        </w:trP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1F5F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#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1F5F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Item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1F5F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Standard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1F5F9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Why it matters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Frame tolerance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Post parallelism ≤ 1.5 mm/m, diagonal deviation ≤ 3 mm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Determines whether 19" equipment installs smoothly and whether rails bind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Static deflection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Under full load, frame deformation ≤ 3 mm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Long-term load shouldn't "sag" — otherwise server locks fail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Weld quality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Full welds without undercut, porosity, or cracks; complies with </w:t>
            </w:r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AWS D1.3</w:t>
            </w:r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(sheet welding) + </w:t>
            </w:r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PQR-qualified WPS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Welding is the core of frame rigidity; defects = long-term failure points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Powder-coat adhesion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Cross-hatch grade ≥ 4B (ASTM D3359), film thickness 60-80 μm and uniform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Coating flakes = machine-room dust that affects equipment intake filters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Perforation ratio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Front and rear door ratio ≥ 65% (verify from CAD or third-party air-resistance test)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Below 65% raises intake temperature 3-5 °C, increasing long-term energy cost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EMC shielding</w:t>
            </w:r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(optional, finance/medical)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30 MHz - 1 GHz shielding effectiveness ≥ 40 dB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Electromagnetic leakage affects high-precision equipment (5G test gear, medical imaging)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Grounding continuity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All metal components to main ground terminal ≤ 0.1 Ω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First line of defense against ESD and leakage current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8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Rail compatibility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Supports major brands (Dell / HPE / Supermicro / Inspur / Huawei) with square-hole rails</w:t>
            </w:r>
          </w:p>
        </w:tc>
        <w:tc>
          <w:tcPr>
            <w:tcW w:type="dxa" w:w="2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Single-brand lock-in = high switching cost later</w:t>
            </w:r>
          </w:p>
        </w:tc>
      </w:tr>
    </w:tbl>
    <w:p>
      <w:pPr>
        <w:spacing w:after="120"/>
      </w:pPr>
      <w:r>
        <w:rPr>
          <w:sz w:val="12"/>
          <w:szCs w:val="12"/>
        </w:rPr>
        <w:t xml:space="preserve"/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Four: Supplier Process Checklist (Screen Before Ordering)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Use these five to filter suppliers upfront: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✅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Laser-cutting precision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frame panels with clean edges, no burrs, good cut perpendicularity (inspect samples in person)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✅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CNC bending consistency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sample 5 pieces from a batch, bending angle deviation ≤ 0.5°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✅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Robotic vs manual welding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robotic welding is more consistent, but the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welding certification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(AWS standard + PQR-WPS) matters more than the equipment itself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✅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Surface finish line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does powder coating include full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pre-treatment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(degrease → phosphate → rinse → dry)? Pre-treatment determines coating adhesion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✅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Assembly environment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if the supplier also offers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ISO Class 7 cleanroom assembly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, it signals capability for high-end scenarios (data centers don't require cleanroom, but it's a positive signal)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Five: Three Pitfalls Specific to AI Server Rack Procurement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AI training clusters have driven demand for high-density racks. Common procurement traps: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When single-rack power density exceeds 30 kW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, air cooling is at its limit — consider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liquid-cooled racks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(cold-plate or immersion). If the supplier doesn't understand liquid cooling manifold routing or leak-detection integration, exclude them.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AI servers are commonly 900-1000 mm deep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(e.g., NVIDIA H100/H200 8-GPU chassis). Racks need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at least 1200 mm depth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to accommodate front/rear cable routing. Verify with a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3D assembly drawing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before ordering.</w:t>
      </w:r>
    </w:p>
    <w:p>
      <w:pPr>
        <w:pStyle w:val="ListParagraph"/>
        <w:numPr>
          <w:ilvl w:val="0"/>
          <w:numId w:val="3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AI training clusters generate stronger electromagnetic noise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. When packing multiple racks tightly, the EMC shielding requirement rises (30 dB → 40 dB).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Six: Reference Case (Applied Against the 6-Parameter + 8-Acceptance Framework)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Using a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Suzhou-based sheet metal manufacturer (founded 2002)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as a reference sample against the framework in this guide: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End-to-end in-house processes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laser cutting, CNC bending, robotic and manual welding (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AWS standard + PQR-qualified WPS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), powder coating with pre-treatment line, mechatronic assembly.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Data-center rack capability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19" standard racks, AI high-density racks, edge racks — all custom-buildable. Supports perforated / glass / EMC-shielded doors. Single-rack load-bearing designed up to 1800 kg.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Surface finish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powder-coat line supports 60-100 μm film thickness with uniform control; cross-hatch adhesion typically ≥ 4B.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Supply-chain resilience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Dual factories in Suzhou (China) and Penang (Malaysia)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— local delivery for Southeast Asian data-center customers (Singapore, Malaysia, Indonesia IDC clusters).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System certifications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ISO 9001 / 14001 / 45001; EcoVadis Bronze; 2026 Suzhou 2A-Level Green Factory.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Engineering capacity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80+ DFM/NPI engineers supporting prototype through volume; third-party load, coating and EMC shielding test reports available.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Customer base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: semiconductor equipment, data-center, industrial electrical OEMs / EMS.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This is a reference sample compiled from public industry information, provided against the framework in this guide. It is not an endorsement.</w:t>
      </w:r>
    </w:p>
    <w:p>
      <w:pPr>
        <w:pStyle w:val="Heading1"/>
        <w:spacing w:after="120" w:before="240"/>
      </w:pPr>
      <w:r>
        <w:rPr>
          <w:rFonts w:ascii="Arial"/>
          <w:b/>
          <w:bCs/>
          <w:color w:val="2C3C66"/>
          <w:sz w:val="26"/>
          <w:szCs w:val="26"/>
        </w:rPr>
        <w:t xml:space="preserve">Seven: Closing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Data-center rack procurement is the "invisible foundation" of a machine room. Frame specifications differ by less than 15% in unit price, but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process consistency, weld quality and coating durability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 determine 5-10 years of machine-room stability and operational cost.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Recommendations before ordering: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Turn the 8 acceptance criteria from Section 3 into a scoring template. Apply it to every sample rack.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Prioritize suppliers with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in-house end-to-end processes, welding credentials (AWS + PQR-WPS), and multi-site supply capability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For AI high-density scenarios, additionally verify </w:t>
      </w: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depth, load rating, and liquid-cooling compatibility</w:t>
      </w: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312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Cheap racks today usually mean higher total cost of ownership later.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Chinese version of this article: https://ace-sz.com/blog/datacenter-rack-selection-guide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This guide is a general procurement methodology and may be reproduced with attribution.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Suzhou ACE Sheet Metal Manufacturing Co., Ltd. — precision sheet metal fabrication for semiconductor equipment, medical devices, data centers, and industrial electrical OEMs. Dual factories in Suzhou (China) and Penang (Malaysia). ISO 9001 / 14001 / 45001, EcoVadis Bronze.</w:t>
      </w:r>
    </w:p>
    <w:p>
      <w:pPr>
        <w:spacing w:after="160" w:before="60"/>
      </w:pPr>
      <w:r>
        <w:rPr>
          <w:rFonts w:ascii="Times New Roman"/>
          <w:b w:val="false"/>
          <w:bCs w:val="false"/>
          <w:i/>
          <w:iCs/>
          <w:color w:val="666666"/>
          <w:sz w:val="18"/>
          <w:szCs w:val="18"/>
        </w:rPr>
        <w:t xml:space="preserve">Learn more: https://ace-sz.com</w:t>
      </w:r>
    </w:p>
    <w:p>
      <w:pPr>
        <w:spacing w:after="120" w:line="312"/>
      </w:pPr>
      <w:r>
        <w:rPr>
          <w:rFonts w:ascii="Times New Roman"/>
          <w:b/>
          <w:bCs/>
          <w:i w:val="false"/>
          <w:iCs w:val="false"/>
          <w:sz w:val="22"/>
          <w:szCs w:val="22"/>
        </w:rPr>
        <w:t xml:space="preserve">Related articles: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Sheet Metal Enclosure Supplier Buyer's Guide (2026) (https://ace-sz.com/blog/buyers-guide-enclosure-2026)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Dual-Site Manufacturing (China + Penang): Why It Matters for Semiconductor &amp; Medical OEMs (https://ace-sz.com/blog/dual-site-china-penang-2026)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How We Run Weekly Safety Audits at Our Sheet Metal Factory (https://ace-sz.com/blog/ehs-monthly-audit-en)</w:t>
      </w:r>
    </w:p>
    <w:p>
      <w:pPr>
        <w:pStyle w:val="ListParagraph"/>
        <w:numPr>
          <w:ilvl w:val="0"/>
          <w:numId w:val="1"/>
        </w:numPr>
        <w:spacing w:after="60" w:line="300"/>
      </w:pPr>
      <w:r>
        <w:rPr>
          <w:rFonts w:ascii="Times New Roman"/>
          <w:b w:val="false"/>
          <w:bCs w:val="false"/>
          <w:i w:val="false"/>
          <w:iCs w:val="false"/>
          <w:sz w:val="22"/>
          <w:szCs w:val="22"/>
        </w:rPr>
        <w:t xml:space="preserve">ACE Penang Factory Tour (Malaysia entity for Southeast Asian IDC delivery) (https://ace-sz.com/factory-tour-penang)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2026-07-15T08:08:32.097Z</dcterms:created>
  <dcterms:modified xsi:type="dcterms:W3CDTF">2026-07-15T08:08:32.098Z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