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360" w:before="240" w:line="360" w:lineRule="auto"/>
        <w:jc w:val="center"/>
      </w:pPr>
      <w:r>
        <w:rPr>
          <w:rFonts w:ascii="Arial" w:eastAsia="SimHei" w:hAnsi="Arial"/>
          <w:b/>
          <w:bCs/>
          <w:sz w:val="36"/>
          <w:szCs w:val="36"/>
        </w:rPr>
        <w:t xml:space="preserve">Selecting a Sheet Metal Enclosure Supplier for Semiconductor Equipment: A Buyer's Guide (2026)</w:t>
      </w:r>
    </w:p>
    <w:p>
      <w:pPr>
        <w:spacing w:after="60" w:before="60" w:line="360" w:lineRule="auto"/>
        <w:ind w:left="480"/>
      </w:pPr>
      <w:r>
        <w:rPr>
          <w:rFonts w:ascii="Times New Roman" w:eastAsia="SimSun" w:hAnsi="Times New Roman"/>
          <w:b w:val="false"/>
          <w:bCs w:val="false"/>
          <w:i w:val="false"/>
          <w:iCs w:val="false"/>
          <w:color w:val="555555"/>
          <w:sz w:val="24"/>
          <w:szCs w:val="24"/>
        </w:rPr>
        <w:t xml:space="preserve">Audience: procurement, engineering and supply-chain leads at semiconductor equipment, medical device, data-center and industrial-electrical OEMs.</w:t>
      </w:r>
    </w:p>
    <w:p>
      <w:pPr>
        <w:spacing w:after="60" w:before="60" w:line="360" w:lineRule="auto"/>
        <w:ind w:left="480"/>
      </w:pPr>
      <w:r>
        <w:rPr>
          <w:rFonts w:ascii="Times New Roman" w:eastAsia="SimSun" w:hAnsi="Times New Roman"/>
          <w:b w:val="false"/>
          <w:bCs w:val="false"/>
          <w:i w:val="false"/>
          <w:iCs w:val="false"/>
          <w:color w:val="555555"/>
          <w:sz w:val="24"/>
          <w:szCs w:val="24"/>
        </w:rPr>
        <w:t xml:space="preserve">Purpose: LinkedIn Article / company blog / Medium / RFQ supplement — a vendor-neutral framework to evaluate precision sheet metal enclosure and frame suppliers.</w:t>
      </w:r>
    </w:p>
    <w:p>
      <w:pPr>
        <w:spacing w:after="60" w:before="60" w:line="360" w:lineRule="auto"/>
        <w:ind w:left="480"/>
      </w:pPr>
      <w:r>
        <w:rPr>
          <w:rFonts w:ascii="Times New Roman" w:eastAsia="SimSun" w:hAnsi="Times New Roman"/>
          <w:b w:val="false"/>
          <w:bCs w:val="false"/>
          <w:i w:val="false"/>
          <w:iCs w:val="false"/>
          <w:color w:val="555555"/>
          <w:sz w:val="24"/>
          <w:szCs w:val="24"/>
        </w:rPr>
        <w:t xml:space="preserve">Note: This guide is a general methodology; a real supplier is referenced at the end as a comparison sample, not as an endorsement.</w:t>
      </w:r>
    </w:p>
    <w:p>
      <w:pPr>
        <w:pStyle w:val="Heading2"/>
        <w:spacing w:after="160" w:before="320" w:line="360" w:lineRule="auto"/>
      </w:pPr>
      <w:r>
        <w:rPr>
          <w:rFonts w:ascii="Arial" w:eastAsia="SimHei" w:hAnsi="Arial"/>
          <w:b/>
          <w:bCs/>
          <w:sz w:val="30"/>
          <w:szCs w:val="30"/>
        </w:rPr>
        <w:t xml:space="preserve">1. Why enclosure sourcing is a strategic decision, not a commodity buy</w:t>
      </w:r>
    </w:p>
    <w:p>
      <w:pPr>
        <w:spacing w:after="120" w:before="120" w:line="360" w:lineRule="auto"/>
        <w:jc w:val="both"/>
      </w:pPr>
      <w:r>
        <w:rPr>
          <w:rFonts w:ascii="Times New Roman" w:eastAsia="SimSun" w:hAnsi="Times New Roman"/>
          <w:b w:val="false"/>
          <w:bCs w:val="false"/>
          <w:i w:val="false"/>
          <w:iCs w:val="false"/>
          <w:color w:val="000000"/>
          <w:sz w:val="24"/>
          <w:szCs w:val="24"/>
        </w:rPr>
        <w:t xml:space="preserve">Enclosures and structural frames for semiconductor equipment, medical devices, data-center racks and industrial-electrical cabinets look deceptively simple — bent sheet, welded joints, powder coating. But the tolerances, weld reliability, cleanliness and batch consistency demanded by these sectors are </w:t>
      </w:r>
      <w:r>
        <w:rPr>
          <w:rFonts w:ascii="Times New Roman" w:eastAsia="SimSun" w:hAnsi="Times New Roman"/>
          <w:b/>
          <w:bCs/>
          <w:i w:val="false"/>
          <w:iCs w:val="false"/>
          <w:color w:val="000000"/>
          <w:sz w:val="24"/>
          <w:szCs w:val="24"/>
        </w:rPr>
        <w:t xml:space="preserve">an order of magnitude tighter</w:t>
      </w:r>
      <w:r>
        <w:rPr>
          <w:rFonts w:ascii="Times New Roman" w:eastAsia="SimSun" w:hAnsi="Times New Roman"/>
          <w:b w:val="false"/>
          <w:bCs w:val="false"/>
          <w:i w:val="false"/>
          <w:iCs w:val="false"/>
          <w:color w:val="000000"/>
          <w:sz w:val="24"/>
          <w:szCs w:val="24"/>
        </w:rPr>
        <w:t xml:space="preserve"> than general sheet metal work.</w:t>
      </w:r>
    </w:p>
    <w:p>
      <w:pPr>
        <w:spacing w:after="120" w:before="120" w:line="360" w:lineRule="auto"/>
        <w:jc w:val="both"/>
      </w:pPr>
      <w:r>
        <w:rPr>
          <w:rFonts w:ascii="Times New Roman" w:eastAsia="SimSun" w:hAnsi="Times New Roman"/>
          <w:b w:val="false"/>
          <w:bCs w:val="false"/>
          <w:i w:val="false"/>
          <w:iCs w:val="false"/>
          <w:color w:val="000000"/>
          <w:sz w:val="24"/>
          <w:szCs w:val="24"/>
        </w:rPr>
        <w:t xml:space="preserve">A poorly chosen supplier does not just cost more per unit — it costs </w:t>
      </w:r>
      <w:r>
        <w:rPr>
          <w:rFonts w:ascii="Times New Roman" w:eastAsia="SimSun" w:hAnsi="Times New Roman"/>
          <w:b/>
          <w:bCs/>
          <w:i w:val="false"/>
          <w:iCs w:val="false"/>
          <w:color w:val="000000"/>
          <w:sz w:val="24"/>
          <w:szCs w:val="24"/>
        </w:rPr>
        <w:t xml:space="preserve">yield, lead time, rework and customer trust</w:t>
      </w:r>
      <w:r>
        <w:rPr>
          <w:rFonts w:ascii="Times New Roman" w:eastAsia="SimSun" w:hAnsi="Times New Roman"/>
          <w:b w:val="false"/>
          <w:bCs w:val="false"/>
          <w:i w:val="false"/>
          <w:iCs w:val="false"/>
          <w:color w:val="000000"/>
          <w:sz w:val="24"/>
          <w:szCs w:val="24"/>
        </w:rPr>
        <w:t xml:space="preserve">. Chassis flatness that is out of spec, weld cracks that show up under thermal cycling, powder coating that flakes into a clean tool, batch-to-batch geometry drift — these failures propagate through the entire integration and are painful to unwind.</w:t>
      </w:r>
    </w:p>
    <w:p>
      <w:pPr>
        <w:spacing w:before="480" w:line="360" w:lineRule="auto"/>
        <w:jc w:val="center"/>
      </w:pPr>
      <w:r>
        <w:rPr>
          <w:rFonts w:ascii="Times New Roman" w:eastAsia="SimSun" w:hAnsi="Times New Roman"/>
          <w:i/>
          <w:iCs/>
          <w:color w:val="666666"/>
          <w:sz w:val="20"/>
          <w:szCs w:val="20"/>
        </w:rPr>
        <w:t xml:space="preserve">*Choosing the right structural partner is one of the highest-leverage decisions in high-reliability OEM sourcing.*</w:t>
      </w:r>
    </w:p>
    <w:p>
      <w:pPr>
        <w:pStyle w:val="Heading2"/>
        <w:spacing w:after="160" w:before="320" w:line="360" w:lineRule="auto"/>
      </w:pPr>
      <w:r>
        <w:rPr>
          <w:rFonts w:ascii="Arial" w:eastAsia="SimHei" w:hAnsi="Arial"/>
          <w:b/>
          <w:bCs/>
          <w:sz w:val="30"/>
          <w:szCs w:val="30"/>
        </w:rPr>
        <w:t xml:space="preserve">2. The 5 process capabilities that actually matter</w:t>
      </w:r>
    </w:p>
    <w:p>
      <w:pPr>
        <w:spacing w:after="120" w:before="120" w:line="360" w:lineRule="auto"/>
        <w:jc w:val="both"/>
      </w:pPr>
      <w:r>
        <w:rPr>
          <w:rFonts w:ascii="Times New Roman" w:eastAsia="SimSun" w:hAnsi="Times New Roman"/>
          <w:b w:val="false"/>
          <w:bCs w:val="false"/>
          <w:i w:val="false"/>
          <w:iCs w:val="false"/>
          <w:color w:val="000000"/>
          <w:sz w:val="24"/>
          <w:szCs w:val="24"/>
        </w:rPr>
        <w:t xml:space="preserve">Not every supplier that claims "precision sheet metal" delivers it. Look for these five capabilities:</w:t>
      </w:r>
    </w:p>
    <w:p>
      <w:pPr>
        <w:pStyle w:val="ListParagraph"/>
        <w:numPr>
          <w:ilvl w:val="0"/>
          <w:numId w:val="2"/>
        </w:numPr>
        <w:spacing w:after="60" w:before="60" w:line="360" w:lineRule="auto"/>
      </w:pPr>
      <w:r>
        <w:rPr>
          <w:rFonts w:ascii="Times New Roman" w:eastAsia="SimSun" w:hAnsi="Times New Roman"/>
          <w:b/>
          <w:bCs/>
          <w:i w:val="false"/>
          <w:iCs w:val="false"/>
          <w:color w:val="000000"/>
          <w:sz w:val="24"/>
          <w:szCs w:val="24"/>
        </w:rPr>
        <w:t xml:space="preserve">Cutting precision</w:t>
      </w:r>
      <w:r>
        <w:rPr>
          <w:rFonts w:ascii="Times New Roman" w:eastAsia="SimSun" w:hAnsi="Times New Roman"/>
          <w:b w:val="false"/>
          <w:bCs w:val="false"/>
          <w:i w:val="false"/>
          <w:iCs w:val="false"/>
          <w:color w:val="000000"/>
          <w:sz w:val="24"/>
          <w:szCs w:val="24"/>
        </w:rPr>
        <w:t xml:space="preserve"> — laser-cut edge quality, CNC bending angle and dimensional tolerance directly determine assembly fit.</w:t>
      </w:r>
    </w:p>
    <w:p>
      <w:pPr>
        <w:pStyle w:val="ListParagraph"/>
        <w:numPr>
          <w:ilvl w:val="0"/>
          <w:numId w:val="2"/>
        </w:numPr>
        <w:spacing w:after="60" w:before="60" w:line="360" w:lineRule="auto"/>
      </w:pPr>
      <w:r>
        <w:rPr>
          <w:rFonts w:ascii="Times New Roman" w:eastAsia="SimSun" w:hAnsi="Times New Roman"/>
          <w:b/>
          <w:bCs/>
          <w:i w:val="false"/>
          <w:iCs w:val="false"/>
          <w:color w:val="000000"/>
          <w:sz w:val="24"/>
          <w:szCs w:val="24"/>
        </w:rPr>
        <w:t xml:space="preserve">Weld quality</w:t>
      </w:r>
      <w:r>
        <w:rPr>
          <w:rFonts w:ascii="Times New Roman" w:eastAsia="SimSun" w:hAnsi="Times New Roman"/>
          <w:b w:val="false"/>
          <w:bCs w:val="false"/>
          <w:i w:val="false"/>
          <w:iCs w:val="false"/>
          <w:color w:val="000000"/>
          <w:sz w:val="24"/>
          <w:szCs w:val="24"/>
        </w:rPr>
        <w:t xml:space="preserve"> — compliance with </w:t>
      </w:r>
      <w:r>
        <w:rPr>
          <w:rFonts w:ascii="Times New Roman" w:eastAsia="SimSun" w:hAnsi="Times New Roman"/>
          <w:b/>
          <w:bCs/>
          <w:i w:val="false"/>
          <w:iCs w:val="false"/>
          <w:color w:val="000000"/>
          <w:sz w:val="24"/>
          <w:szCs w:val="24"/>
        </w:rPr>
        <w:t xml:space="preserve">AWS D1.x</w:t>
      </w:r>
      <w:r>
        <w:rPr>
          <w:rFonts w:ascii="Times New Roman" w:eastAsia="SimSun" w:hAnsi="Times New Roman"/>
          <w:b w:val="false"/>
          <w:bCs w:val="false"/>
          <w:i w:val="false"/>
          <w:iCs w:val="false"/>
          <w:color w:val="000000"/>
          <w:sz w:val="24"/>
          <w:szCs w:val="24"/>
        </w:rPr>
        <w:t xml:space="preserve"> standards and </w:t>
      </w:r>
      <w:r>
        <w:rPr>
          <w:rFonts w:ascii="Times New Roman" w:eastAsia="SimSun" w:hAnsi="Times New Roman"/>
          <w:b/>
          <w:bCs/>
          <w:i w:val="false"/>
          <w:iCs w:val="false"/>
          <w:color w:val="000000"/>
          <w:sz w:val="24"/>
          <w:szCs w:val="24"/>
        </w:rPr>
        <w:t xml:space="preserve">PQR-qualified WPS</w:t>
      </w:r>
      <w:r>
        <w:rPr>
          <w:rFonts w:ascii="Times New Roman" w:eastAsia="SimSun" w:hAnsi="Times New Roman"/>
          <w:b w:val="false"/>
          <w:bCs w:val="false"/>
          <w:i w:val="false"/>
          <w:iCs w:val="false"/>
          <w:color w:val="000000"/>
          <w:sz w:val="24"/>
          <w:szCs w:val="24"/>
        </w:rPr>
        <w:t xml:space="preserve"> (welding procedure specification) are hard signals of weld reliability, not marketing claims.</w:t>
      </w:r>
    </w:p>
    <w:p>
      <w:pPr>
        <w:pStyle w:val="ListParagraph"/>
        <w:numPr>
          <w:ilvl w:val="0"/>
          <w:numId w:val="2"/>
        </w:numPr>
        <w:spacing w:after="60" w:before="60" w:line="360" w:lineRule="auto"/>
      </w:pPr>
      <w:r>
        <w:rPr>
          <w:rFonts w:ascii="Times New Roman" w:eastAsia="SimSun" w:hAnsi="Times New Roman"/>
          <w:b/>
          <w:bCs/>
          <w:i w:val="false"/>
          <w:iCs w:val="false"/>
          <w:color w:val="000000"/>
          <w:sz w:val="24"/>
          <w:szCs w:val="24"/>
        </w:rPr>
        <w:t xml:space="preserve">Surface finishing</w:t>
      </w:r>
      <w:r>
        <w:rPr>
          <w:rFonts w:ascii="Times New Roman" w:eastAsia="SimSun" w:hAnsi="Times New Roman"/>
          <w:b w:val="false"/>
          <w:bCs w:val="false"/>
          <w:i w:val="false"/>
          <w:iCs w:val="false"/>
          <w:color w:val="000000"/>
          <w:sz w:val="24"/>
          <w:szCs w:val="24"/>
        </w:rPr>
        <w:t xml:space="preserve"> — powder coating adhesion (per ASTM D3359 crosshatch), film thickness uniformity, corrosion resistance in salt spray testing.</w:t>
      </w:r>
    </w:p>
    <w:p>
      <w:pPr>
        <w:pStyle w:val="ListParagraph"/>
        <w:numPr>
          <w:ilvl w:val="0"/>
          <w:numId w:val="2"/>
        </w:numPr>
        <w:spacing w:after="60" w:before="60" w:line="360" w:lineRule="auto"/>
      </w:pPr>
      <w:r>
        <w:rPr>
          <w:rFonts w:ascii="Times New Roman" w:eastAsia="SimSun" w:hAnsi="Times New Roman"/>
          <w:b/>
          <w:bCs/>
          <w:i w:val="false"/>
          <w:iCs w:val="false"/>
          <w:color w:val="000000"/>
          <w:sz w:val="24"/>
          <w:szCs w:val="24"/>
        </w:rPr>
        <w:t xml:space="preserve">Cleanroom assembly capability</w:t>
      </w:r>
      <w:r>
        <w:rPr>
          <w:rFonts w:ascii="Times New Roman" w:eastAsia="SimSun" w:hAnsi="Times New Roman"/>
          <w:b w:val="false"/>
          <w:bCs w:val="false"/>
          <w:i w:val="false"/>
          <w:iCs w:val="false"/>
          <w:color w:val="000000"/>
          <w:sz w:val="24"/>
          <w:szCs w:val="24"/>
        </w:rPr>
        <w:t xml:space="preserve"> — semiconductor structural parts often require </w:t>
      </w:r>
      <w:r>
        <w:rPr>
          <w:rFonts w:ascii="Times New Roman" w:eastAsia="SimSun" w:hAnsi="Times New Roman"/>
          <w:b/>
          <w:bCs/>
          <w:i w:val="false"/>
          <w:iCs w:val="false"/>
          <w:color w:val="000000"/>
          <w:sz w:val="24"/>
          <w:szCs w:val="24"/>
        </w:rPr>
        <w:t xml:space="preserve">ISO Class 7</w:t>
      </w:r>
      <w:r>
        <w:rPr>
          <w:rFonts w:ascii="Times New Roman" w:eastAsia="SimSun" w:hAnsi="Times New Roman"/>
          <w:b w:val="false"/>
          <w:bCs w:val="false"/>
          <w:i w:val="false"/>
          <w:iCs w:val="false"/>
          <w:color w:val="000000"/>
          <w:sz w:val="24"/>
          <w:szCs w:val="24"/>
        </w:rPr>
        <w:t xml:space="preserve"> cleanroom assembly. This is a hard gate for wafer-facing enclosures.</w:t>
      </w:r>
    </w:p>
    <w:p>
      <w:pPr>
        <w:pStyle w:val="ListParagraph"/>
        <w:numPr>
          <w:ilvl w:val="0"/>
          <w:numId w:val="2"/>
        </w:numPr>
        <w:spacing w:after="60" w:before="60" w:line="360" w:lineRule="auto"/>
      </w:pPr>
      <w:r>
        <w:rPr>
          <w:rFonts w:ascii="Times New Roman" w:eastAsia="SimSun" w:hAnsi="Times New Roman"/>
          <w:b/>
          <w:bCs/>
          <w:i w:val="false"/>
          <w:iCs w:val="false"/>
          <w:color w:val="000000"/>
          <w:sz w:val="24"/>
          <w:szCs w:val="24"/>
        </w:rPr>
        <w:t xml:space="preserve">Batch consistency</w:t>
      </w:r>
      <w:r>
        <w:rPr>
          <w:rFonts w:ascii="Times New Roman" w:eastAsia="SimSun" w:hAnsi="Times New Roman"/>
          <w:b w:val="false"/>
          <w:bCs w:val="false"/>
          <w:i w:val="false"/>
          <w:iCs w:val="false"/>
          <w:color w:val="000000"/>
          <w:sz w:val="24"/>
          <w:szCs w:val="24"/>
        </w:rPr>
        <w:t xml:space="preserve"> — the ability to hold dimensional and cosmetic quality from prototype through volume ramp, verified via first-article inspection (FAI) and ongoing SPC.</w:t>
      </w:r>
    </w:p>
    <w:p>
      <w:pPr>
        <w:pStyle w:val="Heading2"/>
        <w:spacing w:after="160" w:before="320" w:line="360" w:lineRule="auto"/>
      </w:pPr>
      <w:r>
        <w:rPr>
          <w:rFonts w:ascii="Arial" w:eastAsia="SimHei" w:hAnsi="Arial"/>
          <w:b/>
          <w:bCs/>
          <w:sz w:val="30"/>
          <w:szCs w:val="30"/>
        </w:rPr>
        <w:t xml:space="preserve">3. A 6-dimension scorecard (usable directly by procurement)</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56"/>
        <w:gridCol w:w="2256"/>
        <w:gridCol w:w="2256"/>
        <w:gridCol w:w="2256"/>
      </w:tblGrid>
      <w:tr>
        <w:trPr>
          <w:tblHeader/>
        </w:trPr>
        <w:tc>
          <w:tcPr>
            <w:tcW w:type="dxa" w:w="2256"/>
            <w:tcBorders>
              <w:top w:val="single" w:color="888888" w:sz="6"/>
              <w:left w:val="single" w:color="888888" w:sz="6"/>
              <w:bottom w:val="single" w:color="888888" w:sz="6"/>
              <w:right w:val="single" w:color="888888" w:sz="6"/>
            </w:tcBorders>
            <w:shd w:fill="D5E8F0" w:color="auto" w:val="clear"/>
            <w:tcMar>
              <w:top w:type="dxa" w:w="80"/>
              <w:left w:type="dxa" w:w="120"/>
              <w:bottom w:type="dxa" w:w="80"/>
              <w:right w:type="dxa" w:w="120"/>
            </w:tcMar>
          </w:tcPr>
          <w:p>
            <w:pPr>
              <w:spacing w:line="300" w:lineRule="auto"/>
              <w:jc w:val="center"/>
            </w:pPr>
            <w:r>
              <w:rPr>
                <w:rFonts w:ascii="Times New Roman" w:eastAsia="SimSun" w:hAnsi="Times New Roman"/>
                <w:b/>
                <w:bCs/>
                <w:i w:val="false"/>
                <w:iCs w:val="false"/>
                <w:color w:val="000000"/>
                <w:sz w:val="22"/>
                <w:szCs w:val="22"/>
              </w:rPr>
              <w:t xml:space="preserve">#</w:t>
            </w:r>
          </w:p>
        </w:tc>
        <w:tc>
          <w:tcPr>
            <w:tcW w:type="dxa" w:w="2256"/>
            <w:tcBorders>
              <w:top w:val="single" w:color="888888" w:sz="6"/>
              <w:left w:val="single" w:color="888888" w:sz="6"/>
              <w:bottom w:val="single" w:color="888888" w:sz="6"/>
              <w:right w:val="single" w:color="888888" w:sz="6"/>
            </w:tcBorders>
            <w:shd w:fill="D5E8F0" w:color="auto" w:val="clear"/>
            <w:tcMar>
              <w:top w:type="dxa" w:w="80"/>
              <w:left w:type="dxa" w:w="120"/>
              <w:bottom w:type="dxa" w:w="80"/>
              <w:right w:type="dxa" w:w="120"/>
            </w:tcMar>
          </w:tcPr>
          <w:p>
            <w:pPr>
              <w:spacing w:line="300" w:lineRule="auto"/>
              <w:jc w:val="center"/>
            </w:pPr>
            <w:r>
              <w:rPr>
                <w:rFonts w:ascii="Times New Roman" w:eastAsia="SimSun" w:hAnsi="Times New Roman"/>
                <w:b/>
                <w:bCs/>
                <w:i w:val="false"/>
                <w:iCs w:val="false"/>
                <w:color w:val="000000"/>
                <w:sz w:val="22"/>
                <w:szCs w:val="22"/>
              </w:rPr>
              <w:t xml:space="preserve">Dimension</w:t>
            </w:r>
          </w:p>
        </w:tc>
        <w:tc>
          <w:tcPr>
            <w:tcW w:type="dxa" w:w="2256"/>
            <w:tcBorders>
              <w:top w:val="single" w:color="888888" w:sz="6"/>
              <w:left w:val="single" w:color="888888" w:sz="6"/>
              <w:bottom w:val="single" w:color="888888" w:sz="6"/>
              <w:right w:val="single" w:color="888888" w:sz="6"/>
            </w:tcBorders>
            <w:shd w:fill="D5E8F0" w:color="auto" w:val="clear"/>
            <w:tcMar>
              <w:top w:type="dxa" w:w="80"/>
              <w:left w:type="dxa" w:w="120"/>
              <w:bottom w:type="dxa" w:w="80"/>
              <w:right w:type="dxa" w:w="120"/>
            </w:tcMar>
          </w:tcPr>
          <w:p>
            <w:pPr>
              <w:spacing w:line="300" w:lineRule="auto"/>
              <w:jc w:val="center"/>
            </w:pPr>
            <w:r>
              <w:rPr>
                <w:rFonts w:ascii="Times New Roman" w:eastAsia="SimSun" w:hAnsi="Times New Roman"/>
                <w:b/>
                <w:bCs/>
                <w:i w:val="false"/>
                <w:iCs w:val="false"/>
                <w:color w:val="000000"/>
                <w:sz w:val="22"/>
                <w:szCs w:val="22"/>
              </w:rPr>
              <w:t xml:space="preserve">What to look for</w:t>
            </w:r>
          </w:p>
        </w:tc>
        <w:tc>
          <w:tcPr>
            <w:tcW w:type="dxa" w:w="2256"/>
            <w:tcBorders>
              <w:top w:val="single" w:color="888888" w:sz="6"/>
              <w:left w:val="single" w:color="888888" w:sz="6"/>
              <w:bottom w:val="single" w:color="888888" w:sz="6"/>
              <w:right w:val="single" w:color="888888" w:sz="6"/>
            </w:tcBorders>
            <w:shd w:fill="D5E8F0" w:color="auto" w:val="clear"/>
            <w:tcMar>
              <w:top w:type="dxa" w:w="80"/>
              <w:left w:type="dxa" w:w="120"/>
              <w:bottom w:type="dxa" w:w="80"/>
              <w:right w:type="dxa" w:w="120"/>
            </w:tcMar>
          </w:tcPr>
          <w:p>
            <w:pPr>
              <w:spacing w:line="300" w:lineRule="auto"/>
              <w:jc w:val="center"/>
            </w:pPr>
            <w:r>
              <w:rPr>
                <w:rFonts w:ascii="Times New Roman" w:eastAsia="SimSun" w:hAnsi="Times New Roman"/>
                <w:b/>
                <w:bCs/>
                <w:i w:val="false"/>
                <w:iCs w:val="false"/>
                <w:color w:val="000000"/>
                <w:sz w:val="22"/>
                <w:szCs w:val="22"/>
              </w:rPr>
              <w:t xml:space="preserve">Why it matters</w:t>
            </w:r>
          </w:p>
        </w:tc>
      </w:tr>
      <w:tr>
        <w:tc>
          <w:tcPr>
            <w:tcW w:type="dxa" w:w="2256"/>
            <w:tcBorders>
              <w:top w:val="single" w:color="888888" w:sz="6"/>
              <w:left w:val="single" w:color="888888" w:sz="6"/>
              <w:bottom w:val="single" w:color="888888" w:sz="6"/>
              <w:right w:val="single" w:color="888888" w:sz="6"/>
            </w:tcBorders>
            <w:shd w:fill="FFFFFF" w:color="auto" w:val="clear"/>
            <w:tcMar>
              <w:top w:type="dxa" w:w="80"/>
              <w:left w:type="dxa" w:w="120"/>
              <w:bottom w:type="dxa" w:w="80"/>
              <w:right w:type="dxa" w:w="120"/>
            </w:tcMar>
          </w:tcPr>
          <w:p>
            <w:pPr>
              <w:spacing w:line="300" w:lineRule="auto"/>
              <w:jc w:val="left"/>
            </w:pPr>
            <w:r>
              <w:rPr>
                <w:rFonts w:ascii="Times New Roman" w:eastAsia="SimSun" w:hAnsi="Times New Roman"/>
                <w:b/>
                <w:bCs/>
                <w:i w:val="false"/>
                <w:iCs w:val="false"/>
                <w:color w:val="000000"/>
                <w:sz w:val="22"/>
                <w:szCs w:val="22"/>
              </w:rPr>
              <w:t xml:space="preserve">1</w:t>
            </w:r>
          </w:p>
        </w:tc>
        <w:tc>
          <w:tcPr>
            <w:tcW w:type="dxa" w:w="2256"/>
            <w:tcBorders>
              <w:top w:val="single" w:color="888888" w:sz="6"/>
              <w:left w:val="single" w:color="888888" w:sz="6"/>
              <w:bottom w:val="single" w:color="888888" w:sz="6"/>
              <w:right w:val="single" w:color="888888" w:sz="6"/>
            </w:tcBorders>
            <w:shd w:fill="FFFFFF" w:color="auto" w:val="clear"/>
            <w:tcMar>
              <w:top w:type="dxa" w:w="80"/>
              <w:left w:type="dxa" w:w="120"/>
              <w:bottom w:type="dxa" w:w="80"/>
              <w:right w:type="dxa" w:w="120"/>
            </w:tcMar>
          </w:tcPr>
          <w:p>
            <w:pPr>
              <w:spacing w:line="300" w:lineRule="auto"/>
              <w:jc w:val="left"/>
            </w:pPr>
            <w:r>
              <w:rPr>
                <w:rFonts w:ascii="Times New Roman" w:eastAsia="SimSun" w:hAnsi="Times New Roman"/>
                <w:b w:val="false"/>
                <w:bCs w:val="false"/>
                <w:i w:val="false"/>
                <w:iCs w:val="false"/>
                <w:color w:val="000000"/>
                <w:sz w:val="22"/>
                <w:szCs w:val="22"/>
              </w:rPr>
              <w:t xml:space="preserve">End-to-end processes in-house</w:t>
            </w:r>
          </w:p>
        </w:tc>
        <w:tc>
          <w:tcPr>
            <w:tcW w:type="dxa" w:w="2256"/>
            <w:tcBorders>
              <w:top w:val="single" w:color="888888" w:sz="6"/>
              <w:left w:val="single" w:color="888888" w:sz="6"/>
              <w:bottom w:val="single" w:color="888888" w:sz="6"/>
              <w:right w:val="single" w:color="888888" w:sz="6"/>
            </w:tcBorders>
            <w:shd w:fill="FFFFFF" w:color="auto" w:val="clear"/>
            <w:tcMar>
              <w:top w:type="dxa" w:w="80"/>
              <w:left w:type="dxa" w:w="120"/>
              <w:bottom w:type="dxa" w:w="80"/>
              <w:right w:type="dxa" w:w="120"/>
            </w:tcMar>
          </w:tcPr>
          <w:p>
            <w:pPr>
              <w:spacing w:line="300" w:lineRule="auto"/>
              <w:jc w:val="left"/>
            </w:pPr>
            <w:r>
              <w:rPr>
                <w:rFonts w:ascii="Times New Roman" w:eastAsia="SimSun" w:hAnsi="Times New Roman"/>
                <w:b w:val="false"/>
                <w:bCs w:val="false"/>
                <w:i w:val="false"/>
                <w:iCs w:val="false"/>
                <w:color w:val="000000"/>
                <w:sz w:val="22"/>
                <w:szCs w:val="22"/>
              </w:rPr>
              <w:t xml:space="preserve">Laser cutting, CNC bending, welding, surface treatment, assembly under one roof</w:t>
            </w:r>
          </w:p>
        </w:tc>
        <w:tc>
          <w:tcPr>
            <w:tcW w:type="dxa" w:w="2256"/>
            <w:tcBorders>
              <w:top w:val="single" w:color="888888" w:sz="6"/>
              <w:left w:val="single" w:color="888888" w:sz="6"/>
              <w:bottom w:val="single" w:color="888888" w:sz="6"/>
              <w:right w:val="single" w:color="888888" w:sz="6"/>
            </w:tcBorders>
            <w:shd w:fill="FFFFFF" w:color="auto" w:val="clear"/>
            <w:tcMar>
              <w:top w:type="dxa" w:w="80"/>
              <w:left w:type="dxa" w:w="120"/>
              <w:bottom w:type="dxa" w:w="80"/>
              <w:right w:type="dxa" w:w="120"/>
            </w:tcMar>
          </w:tcPr>
          <w:p>
            <w:pPr>
              <w:spacing w:line="300" w:lineRule="auto"/>
              <w:jc w:val="left"/>
            </w:pPr>
            <w:r>
              <w:rPr>
                <w:rFonts w:ascii="Times New Roman" w:eastAsia="SimSun" w:hAnsi="Times New Roman"/>
                <w:b w:val="false"/>
                <w:bCs w:val="false"/>
                <w:i w:val="false"/>
                <w:iCs w:val="false"/>
                <w:color w:val="000000"/>
                <w:sz w:val="22"/>
                <w:szCs w:val="22"/>
              </w:rPr>
              <w:t xml:space="preserve">The more outsourced steps, the harder it is to control quality and lead time</w:t>
            </w:r>
          </w:p>
        </w:tc>
      </w:tr>
      <w:tr>
        <w:tc>
          <w:tcPr>
            <w:tcW w:type="dxa" w:w="2256"/>
            <w:tcBorders>
              <w:top w:val="single" w:color="888888" w:sz="6"/>
              <w:left w:val="single" w:color="888888" w:sz="6"/>
              <w:bottom w:val="single" w:color="888888" w:sz="6"/>
              <w:right w:val="single" w:color="888888" w:sz="6"/>
            </w:tcBorders>
            <w:shd w:fill="FFFFFF" w:color="auto" w:val="clear"/>
            <w:tcMar>
              <w:top w:type="dxa" w:w="80"/>
              <w:left w:type="dxa" w:w="120"/>
              <w:bottom w:type="dxa" w:w="80"/>
              <w:right w:type="dxa" w:w="120"/>
            </w:tcMar>
          </w:tcPr>
          <w:p>
            <w:pPr>
              <w:spacing w:line="300" w:lineRule="auto"/>
              <w:jc w:val="left"/>
            </w:pPr>
            <w:r>
              <w:rPr>
                <w:rFonts w:ascii="Times New Roman" w:eastAsia="SimSun" w:hAnsi="Times New Roman"/>
                <w:b/>
                <w:bCs/>
                <w:i w:val="false"/>
                <w:iCs w:val="false"/>
                <w:color w:val="000000"/>
                <w:sz w:val="22"/>
                <w:szCs w:val="22"/>
              </w:rPr>
              <w:t xml:space="preserve">2</w:t>
            </w:r>
          </w:p>
        </w:tc>
        <w:tc>
          <w:tcPr>
            <w:tcW w:type="dxa" w:w="2256"/>
            <w:tcBorders>
              <w:top w:val="single" w:color="888888" w:sz="6"/>
              <w:left w:val="single" w:color="888888" w:sz="6"/>
              <w:bottom w:val="single" w:color="888888" w:sz="6"/>
              <w:right w:val="single" w:color="888888" w:sz="6"/>
            </w:tcBorders>
            <w:shd w:fill="FFFFFF" w:color="auto" w:val="clear"/>
            <w:tcMar>
              <w:top w:type="dxa" w:w="80"/>
              <w:left w:type="dxa" w:w="120"/>
              <w:bottom w:type="dxa" w:w="80"/>
              <w:right w:type="dxa" w:w="120"/>
            </w:tcMar>
          </w:tcPr>
          <w:p>
            <w:pPr>
              <w:spacing w:line="300" w:lineRule="auto"/>
              <w:jc w:val="left"/>
            </w:pPr>
            <w:r>
              <w:rPr>
                <w:rFonts w:ascii="Times New Roman" w:eastAsia="SimSun" w:hAnsi="Times New Roman"/>
                <w:b w:val="false"/>
                <w:bCs w:val="false"/>
                <w:i w:val="false"/>
                <w:iCs w:val="false"/>
                <w:color w:val="000000"/>
                <w:sz w:val="22"/>
                <w:szCs w:val="22"/>
              </w:rPr>
              <w:t xml:space="preserve">Welding credentials</w:t>
            </w:r>
          </w:p>
        </w:tc>
        <w:tc>
          <w:tcPr>
            <w:tcW w:type="dxa" w:w="2256"/>
            <w:tcBorders>
              <w:top w:val="single" w:color="888888" w:sz="6"/>
              <w:left w:val="single" w:color="888888" w:sz="6"/>
              <w:bottom w:val="single" w:color="888888" w:sz="6"/>
              <w:right w:val="single" w:color="888888" w:sz="6"/>
            </w:tcBorders>
            <w:shd w:fill="FFFFFF" w:color="auto" w:val="clear"/>
            <w:tcMar>
              <w:top w:type="dxa" w:w="80"/>
              <w:left w:type="dxa" w:w="120"/>
              <w:bottom w:type="dxa" w:w="80"/>
              <w:right w:type="dxa" w:w="120"/>
            </w:tcMar>
          </w:tcPr>
          <w:p>
            <w:pPr>
              <w:spacing w:line="300" w:lineRule="auto"/>
              <w:jc w:val="left"/>
            </w:pPr>
            <w:r>
              <w:rPr>
                <w:rFonts w:ascii="Times New Roman" w:eastAsia="SimSun" w:hAnsi="Times New Roman"/>
                <w:b w:val="false"/>
                <w:bCs w:val="false"/>
                <w:i w:val="false"/>
                <w:iCs w:val="false"/>
                <w:color w:val="000000"/>
                <w:sz w:val="22"/>
                <w:szCs w:val="22"/>
              </w:rPr>
              <w:t xml:space="preserve">AWS + PQR-qualified WPS</w:t>
            </w:r>
          </w:p>
        </w:tc>
        <w:tc>
          <w:tcPr>
            <w:tcW w:type="dxa" w:w="2256"/>
            <w:tcBorders>
              <w:top w:val="single" w:color="888888" w:sz="6"/>
              <w:left w:val="single" w:color="888888" w:sz="6"/>
              <w:bottom w:val="single" w:color="888888" w:sz="6"/>
              <w:right w:val="single" w:color="888888" w:sz="6"/>
            </w:tcBorders>
            <w:shd w:fill="FFFFFF" w:color="auto" w:val="clear"/>
            <w:tcMar>
              <w:top w:type="dxa" w:w="80"/>
              <w:left w:type="dxa" w:w="120"/>
              <w:bottom w:type="dxa" w:w="80"/>
              <w:right w:type="dxa" w:w="120"/>
            </w:tcMar>
          </w:tcPr>
          <w:p>
            <w:pPr>
              <w:spacing w:line="300" w:lineRule="auto"/>
              <w:jc w:val="left"/>
            </w:pPr>
            <w:r>
              <w:rPr>
                <w:rFonts w:ascii="Times New Roman" w:eastAsia="SimSun" w:hAnsi="Times New Roman"/>
                <w:b w:val="false"/>
                <w:bCs w:val="false"/>
                <w:i w:val="false"/>
                <w:iCs w:val="false"/>
                <w:color w:val="000000"/>
                <w:sz w:val="22"/>
                <w:szCs w:val="22"/>
              </w:rPr>
              <w:t xml:space="preserve">Objective evidence of weld reliability</w:t>
            </w:r>
          </w:p>
        </w:tc>
      </w:tr>
      <w:tr>
        <w:tc>
          <w:tcPr>
            <w:tcW w:type="dxa" w:w="2256"/>
            <w:tcBorders>
              <w:top w:val="single" w:color="888888" w:sz="6"/>
              <w:left w:val="single" w:color="888888" w:sz="6"/>
              <w:bottom w:val="single" w:color="888888" w:sz="6"/>
              <w:right w:val="single" w:color="888888" w:sz="6"/>
            </w:tcBorders>
            <w:shd w:fill="FFFFFF" w:color="auto" w:val="clear"/>
            <w:tcMar>
              <w:top w:type="dxa" w:w="80"/>
              <w:left w:type="dxa" w:w="120"/>
              <w:bottom w:type="dxa" w:w="80"/>
              <w:right w:type="dxa" w:w="120"/>
            </w:tcMar>
          </w:tcPr>
          <w:p>
            <w:pPr>
              <w:spacing w:line="300" w:lineRule="auto"/>
              <w:jc w:val="left"/>
            </w:pPr>
            <w:r>
              <w:rPr>
                <w:rFonts w:ascii="Times New Roman" w:eastAsia="SimSun" w:hAnsi="Times New Roman"/>
                <w:b/>
                <w:bCs/>
                <w:i w:val="false"/>
                <w:iCs w:val="false"/>
                <w:color w:val="000000"/>
                <w:sz w:val="22"/>
                <w:szCs w:val="22"/>
              </w:rPr>
              <w:t xml:space="preserve">3</w:t>
            </w:r>
          </w:p>
        </w:tc>
        <w:tc>
          <w:tcPr>
            <w:tcW w:type="dxa" w:w="2256"/>
            <w:tcBorders>
              <w:top w:val="single" w:color="888888" w:sz="6"/>
              <w:left w:val="single" w:color="888888" w:sz="6"/>
              <w:bottom w:val="single" w:color="888888" w:sz="6"/>
              <w:right w:val="single" w:color="888888" w:sz="6"/>
            </w:tcBorders>
            <w:shd w:fill="FFFFFF" w:color="auto" w:val="clear"/>
            <w:tcMar>
              <w:top w:type="dxa" w:w="80"/>
              <w:left w:type="dxa" w:w="120"/>
              <w:bottom w:type="dxa" w:w="80"/>
              <w:right w:type="dxa" w:w="120"/>
            </w:tcMar>
          </w:tcPr>
          <w:p>
            <w:pPr>
              <w:spacing w:line="300" w:lineRule="auto"/>
              <w:jc w:val="left"/>
            </w:pPr>
            <w:r>
              <w:rPr>
                <w:rFonts w:ascii="Times New Roman" w:eastAsia="SimSun" w:hAnsi="Times New Roman"/>
                <w:b w:val="false"/>
                <w:bCs w:val="false"/>
                <w:i w:val="false"/>
                <w:iCs w:val="false"/>
                <w:color w:val="000000"/>
                <w:sz w:val="22"/>
                <w:szCs w:val="22"/>
              </w:rPr>
              <w:t xml:space="preserve">Cleanroom capability</w:t>
            </w:r>
          </w:p>
        </w:tc>
        <w:tc>
          <w:tcPr>
            <w:tcW w:type="dxa" w:w="2256"/>
            <w:tcBorders>
              <w:top w:val="single" w:color="888888" w:sz="6"/>
              <w:left w:val="single" w:color="888888" w:sz="6"/>
              <w:bottom w:val="single" w:color="888888" w:sz="6"/>
              <w:right w:val="single" w:color="888888" w:sz="6"/>
            </w:tcBorders>
            <w:shd w:fill="FFFFFF" w:color="auto" w:val="clear"/>
            <w:tcMar>
              <w:top w:type="dxa" w:w="80"/>
              <w:left w:type="dxa" w:w="120"/>
              <w:bottom w:type="dxa" w:w="80"/>
              <w:right w:type="dxa" w:w="120"/>
            </w:tcMar>
          </w:tcPr>
          <w:p>
            <w:pPr>
              <w:spacing w:line="300" w:lineRule="auto"/>
              <w:jc w:val="left"/>
            </w:pPr>
            <w:r>
              <w:rPr>
                <w:rFonts w:ascii="Times New Roman" w:eastAsia="SimSun" w:hAnsi="Times New Roman"/>
                <w:b w:val="false"/>
                <w:bCs w:val="false"/>
                <w:i w:val="false"/>
                <w:iCs w:val="false"/>
                <w:color w:val="000000"/>
                <w:sz w:val="22"/>
                <w:szCs w:val="22"/>
              </w:rPr>
              <w:t xml:space="preserve">Presence of ISO Class 7 or better cleanroom</w:t>
            </w:r>
          </w:p>
        </w:tc>
        <w:tc>
          <w:tcPr>
            <w:tcW w:type="dxa" w:w="2256"/>
            <w:tcBorders>
              <w:top w:val="single" w:color="888888" w:sz="6"/>
              <w:left w:val="single" w:color="888888" w:sz="6"/>
              <w:bottom w:val="single" w:color="888888" w:sz="6"/>
              <w:right w:val="single" w:color="888888" w:sz="6"/>
            </w:tcBorders>
            <w:shd w:fill="FFFFFF" w:color="auto" w:val="clear"/>
            <w:tcMar>
              <w:top w:type="dxa" w:w="80"/>
              <w:left w:type="dxa" w:w="120"/>
              <w:bottom w:type="dxa" w:w="80"/>
              <w:right w:type="dxa" w:w="120"/>
            </w:tcMar>
          </w:tcPr>
          <w:p>
            <w:pPr>
              <w:spacing w:line="300" w:lineRule="auto"/>
              <w:jc w:val="left"/>
            </w:pPr>
            <w:r>
              <w:rPr>
                <w:rFonts w:ascii="Times New Roman" w:eastAsia="SimSun" w:hAnsi="Times New Roman"/>
                <w:b w:val="false"/>
                <w:bCs w:val="false"/>
                <w:i w:val="false"/>
                <w:iCs w:val="false"/>
                <w:color w:val="000000"/>
                <w:sz w:val="22"/>
                <w:szCs w:val="22"/>
              </w:rPr>
              <w:t xml:space="preserve">Hard gate for semiconductor-adjacent parts</w:t>
            </w:r>
          </w:p>
        </w:tc>
      </w:tr>
      <w:tr>
        <w:tc>
          <w:tcPr>
            <w:tcW w:type="dxa" w:w="2256"/>
            <w:tcBorders>
              <w:top w:val="single" w:color="888888" w:sz="6"/>
              <w:left w:val="single" w:color="888888" w:sz="6"/>
              <w:bottom w:val="single" w:color="888888" w:sz="6"/>
              <w:right w:val="single" w:color="888888" w:sz="6"/>
            </w:tcBorders>
            <w:shd w:fill="FFFFFF" w:color="auto" w:val="clear"/>
            <w:tcMar>
              <w:top w:type="dxa" w:w="80"/>
              <w:left w:type="dxa" w:w="120"/>
              <w:bottom w:type="dxa" w:w="80"/>
              <w:right w:type="dxa" w:w="120"/>
            </w:tcMar>
          </w:tcPr>
          <w:p>
            <w:pPr>
              <w:spacing w:line="300" w:lineRule="auto"/>
              <w:jc w:val="left"/>
            </w:pPr>
            <w:r>
              <w:rPr>
                <w:rFonts w:ascii="Times New Roman" w:eastAsia="SimSun" w:hAnsi="Times New Roman"/>
                <w:b/>
                <w:bCs/>
                <w:i w:val="false"/>
                <w:iCs w:val="false"/>
                <w:color w:val="000000"/>
                <w:sz w:val="22"/>
                <w:szCs w:val="22"/>
              </w:rPr>
              <w:t xml:space="preserve">4</w:t>
            </w:r>
          </w:p>
        </w:tc>
        <w:tc>
          <w:tcPr>
            <w:tcW w:type="dxa" w:w="2256"/>
            <w:tcBorders>
              <w:top w:val="single" w:color="888888" w:sz="6"/>
              <w:left w:val="single" w:color="888888" w:sz="6"/>
              <w:bottom w:val="single" w:color="888888" w:sz="6"/>
              <w:right w:val="single" w:color="888888" w:sz="6"/>
            </w:tcBorders>
            <w:shd w:fill="FFFFFF" w:color="auto" w:val="clear"/>
            <w:tcMar>
              <w:top w:type="dxa" w:w="80"/>
              <w:left w:type="dxa" w:w="120"/>
              <w:bottom w:type="dxa" w:w="80"/>
              <w:right w:type="dxa" w:w="120"/>
            </w:tcMar>
          </w:tcPr>
          <w:p>
            <w:pPr>
              <w:spacing w:line="300" w:lineRule="auto"/>
              <w:jc w:val="left"/>
            </w:pPr>
            <w:r>
              <w:rPr>
                <w:rFonts w:ascii="Times New Roman" w:eastAsia="SimSun" w:hAnsi="Times New Roman"/>
                <w:b w:val="false"/>
                <w:bCs w:val="false"/>
                <w:i w:val="false"/>
                <w:iCs w:val="false"/>
                <w:color w:val="000000"/>
                <w:sz w:val="22"/>
                <w:szCs w:val="22"/>
              </w:rPr>
              <w:t xml:space="preserve">System certifications</w:t>
            </w:r>
          </w:p>
        </w:tc>
        <w:tc>
          <w:tcPr>
            <w:tcW w:type="dxa" w:w="2256"/>
            <w:tcBorders>
              <w:top w:val="single" w:color="888888" w:sz="6"/>
              <w:left w:val="single" w:color="888888" w:sz="6"/>
              <w:bottom w:val="single" w:color="888888" w:sz="6"/>
              <w:right w:val="single" w:color="888888" w:sz="6"/>
            </w:tcBorders>
            <w:shd w:fill="FFFFFF" w:color="auto" w:val="clear"/>
            <w:tcMar>
              <w:top w:type="dxa" w:w="80"/>
              <w:left w:type="dxa" w:w="120"/>
              <w:bottom w:type="dxa" w:w="80"/>
              <w:right w:type="dxa" w:w="120"/>
            </w:tcMar>
          </w:tcPr>
          <w:p>
            <w:pPr>
              <w:spacing w:line="300" w:lineRule="auto"/>
              <w:jc w:val="left"/>
            </w:pPr>
            <w:r>
              <w:rPr>
                <w:rFonts w:ascii="Times New Roman" w:eastAsia="SimSun" w:hAnsi="Times New Roman"/>
                <w:b w:val="false"/>
                <w:bCs w:val="false"/>
                <w:i w:val="false"/>
                <w:iCs w:val="false"/>
                <w:color w:val="000000"/>
                <w:sz w:val="22"/>
                <w:szCs w:val="22"/>
              </w:rPr>
              <w:t xml:space="preserve">ISO 9001 / 14001 / 45001</w:t>
            </w:r>
          </w:p>
        </w:tc>
        <w:tc>
          <w:tcPr>
            <w:tcW w:type="dxa" w:w="2256"/>
            <w:tcBorders>
              <w:top w:val="single" w:color="888888" w:sz="6"/>
              <w:left w:val="single" w:color="888888" w:sz="6"/>
              <w:bottom w:val="single" w:color="888888" w:sz="6"/>
              <w:right w:val="single" w:color="888888" w:sz="6"/>
            </w:tcBorders>
            <w:shd w:fill="FFFFFF" w:color="auto" w:val="clear"/>
            <w:tcMar>
              <w:top w:type="dxa" w:w="80"/>
              <w:left w:type="dxa" w:w="120"/>
              <w:bottom w:type="dxa" w:w="80"/>
              <w:right w:type="dxa" w:w="120"/>
            </w:tcMar>
          </w:tcPr>
          <w:p>
            <w:pPr>
              <w:spacing w:line="300" w:lineRule="auto"/>
              <w:jc w:val="left"/>
            </w:pPr>
            <w:r>
              <w:rPr>
                <w:rFonts w:ascii="Times New Roman" w:eastAsia="SimSun" w:hAnsi="Times New Roman"/>
                <w:b w:val="false"/>
                <w:bCs w:val="false"/>
                <w:i w:val="false"/>
                <w:iCs w:val="false"/>
                <w:color w:val="000000"/>
                <w:sz w:val="22"/>
                <w:szCs w:val="22"/>
              </w:rPr>
              <w:t xml:space="preserve">Quality, environmental and safety management maturity</w:t>
            </w:r>
          </w:p>
        </w:tc>
      </w:tr>
      <w:tr>
        <w:tc>
          <w:tcPr>
            <w:tcW w:type="dxa" w:w="2256"/>
            <w:tcBorders>
              <w:top w:val="single" w:color="888888" w:sz="6"/>
              <w:left w:val="single" w:color="888888" w:sz="6"/>
              <w:bottom w:val="single" w:color="888888" w:sz="6"/>
              <w:right w:val="single" w:color="888888" w:sz="6"/>
            </w:tcBorders>
            <w:shd w:fill="FFFFFF" w:color="auto" w:val="clear"/>
            <w:tcMar>
              <w:top w:type="dxa" w:w="80"/>
              <w:left w:type="dxa" w:w="120"/>
              <w:bottom w:type="dxa" w:w="80"/>
              <w:right w:type="dxa" w:w="120"/>
            </w:tcMar>
          </w:tcPr>
          <w:p>
            <w:pPr>
              <w:spacing w:line="300" w:lineRule="auto"/>
              <w:jc w:val="left"/>
            </w:pPr>
            <w:r>
              <w:rPr>
                <w:rFonts w:ascii="Times New Roman" w:eastAsia="SimSun" w:hAnsi="Times New Roman"/>
                <w:b/>
                <w:bCs/>
                <w:i w:val="false"/>
                <w:iCs w:val="false"/>
                <w:color w:val="000000"/>
                <w:sz w:val="22"/>
                <w:szCs w:val="22"/>
              </w:rPr>
              <w:t xml:space="preserve">5</w:t>
            </w:r>
          </w:p>
        </w:tc>
        <w:tc>
          <w:tcPr>
            <w:tcW w:type="dxa" w:w="2256"/>
            <w:tcBorders>
              <w:top w:val="single" w:color="888888" w:sz="6"/>
              <w:left w:val="single" w:color="888888" w:sz="6"/>
              <w:bottom w:val="single" w:color="888888" w:sz="6"/>
              <w:right w:val="single" w:color="888888" w:sz="6"/>
            </w:tcBorders>
            <w:shd w:fill="FFFFFF" w:color="auto" w:val="clear"/>
            <w:tcMar>
              <w:top w:type="dxa" w:w="80"/>
              <w:left w:type="dxa" w:w="120"/>
              <w:bottom w:type="dxa" w:w="80"/>
              <w:right w:type="dxa" w:w="120"/>
            </w:tcMar>
          </w:tcPr>
          <w:p>
            <w:pPr>
              <w:spacing w:line="300" w:lineRule="auto"/>
              <w:jc w:val="left"/>
            </w:pPr>
            <w:r>
              <w:rPr>
                <w:rFonts w:ascii="Times New Roman" w:eastAsia="SimSun" w:hAnsi="Times New Roman"/>
                <w:b w:val="false"/>
                <w:bCs w:val="false"/>
                <w:i w:val="false"/>
                <w:iCs w:val="false"/>
                <w:color w:val="000000"/>
                <w:sz w:val="22"/>
                <w:szCs w:val="22"/>
              </w:rPr>
              <w:t xml:space="preserve">Engineering capability</w:t>
            </w:r>
          </w:p>
        </w:tc>
        <w:tc>
          <w:tcPr>
            <w:tcW w:type="dxa" w:w="2256"/>
            <w:tcBorders>
              <w:top w:val="single" w:color="888888" w:sz="6"/>
              <w:left w:val="single" w:color="888888" w:sz="6"/>
              <w:bottom w:val="single" w:color="888888" w:sz="6"/>
              <w:right w:val="single" w:color="888888" w:sz="6"/>
            </w:tcBorders>
            <w:shd w:fill="FFFFFF" w:color="auto" w:val="clear"/>
            <w:tcMar>
              <w:top w:type="dxa" w:w="80"/>
              <w:left w:type="dxa" w:w="120"/>
              <w:bottom w:type="dxa" w:w="80"/>
              <w:right w:type="dxa" w:w="120"/>
            </w:tcMar>
          </w:tcPr>
          <w:p>
            <w:pPr>
              <w:spacing w:line="300" w:lineRule="auto"/>
              <w:jc w:val="left"/>
            </w:pPr>
            <w:r>
              <w:rPr>
                <w:rFonts w:ascii="Times New Roman" w:eastAsia="SimSun" w:hAnsi="Times New Roman"/>
                <w:b w:val="false"/>
                <w:bCs w:val="false"/>
                <w:i w:val="false"/>
                <w:iCs w:val="false"/>
                <w:color w:val="000000"/>
                <w:sz w:val="22"/>
                <w:szCs w:val="22"/>
              </w:rPr>
              <w:t xml:space="preserve">Dedicated DFM / NPI engineering team, prototype-to-volume capability</w:t>
            </w:r>
          </w:p>
        </w:tc>
        <w:tc>
          <w:tcPr>
            <w:tcW w:type="dxa" w:w="2256"/>
            <w:tcBorders>
              <w:top w:val="single" w:color="888888" w:sz="6"/>
              <w:left w:val="single" w:color="888888" w:sz="6"/>
              <w:bottom w:val="single" w:color="888888" w:sz="6"/>
              <w:right w:val="single" w:color="888888" w:sz="6"/>
            </w:tcBorders>
            <w:shd w:fill="FFFFFF" w:color="auto" w:val="clear"/>
            <w:tcMar>
              <w:top w:type="dxa" w:w="80"/>
              <w:left w:type="dxa" w:w="120"/>
              <w:bottom w:type="dxa" w:w="80"/>
              <w:right w:type="dxa" w:w="120"/>
            </w:tcMar>
          </w:tcPr>
          <w:p>
            <w:pPr>
              <w:spacing w:line="300" w:lineRule="auto"/>
              <w:jc w:val="left"/>
            </w:pPr>
            <w:r>
              <w:rPr>
                <w:rFonts w:ascii="Times New Roman" w:eastAsia="SimSun" w:hAnsi="Times New Roman"/>
                <w:b w:val="false"/>
                <w:bCs w:val="false"/>
                <w:i w:val="false"/>
                <w:iCs w:val="false"/>
                <w:color w:val="000000"/>
                <w:sz w:val="22"/>
                <w:szCs w:val="22"/>
              </w:rPr>
              <w:t xml:space="preserve">Determines how quickly new products can be introduced</w:t>
            </w:r>
          </w:p>
        </w:tc>
      </w:tr>
      <w:tr>
        <w:tc>
          <w:tcPr>
            <w:tcW w:type="dxa" w:w="2256"/>
            <w:tcBorders>
              <w:top w:val="single" w:color="888888" w:sz="6"/>
              <w:left w:val="single" w:color="888888" w:sz="6"/>
              <w:bottom w:val="single" w:color="888888" w:sz="6"/>
              <w:right w:val="single" w:color="888888" w:sz="6"/>
            </w:tcBorders>
            <w:shd w:fill="FFFFFF" w:color="auto" w:val="clear"/>
            <w:tcMar>
              <w:top w:type="dxa" w:w="80"/>
              <w:left w:type="dxa" w:w="120"/>
              <w:bottom w:type="dxa" w:w="80"/>
              <w:right w:type="dxa" w:w="120"/>
            </w:tcMar>
          </w:tcPr>
          <w:p>
            <w:pPr>
              <w:spacing w:line="300" w:lineRule="auto"/>
              <w:jc w:val="left"/>
            </w:pPr>
            <w:r>
              <w:rPr>
                <w:rFonts w:ascii="Times New Roman" w:eastAsia="SimSun" w:hAnsi="Times New Roman"/>
                <w:b/>
                <w:bCs/>
                <w:i w:val="false"/>
                <w:iCs w:val="false"/>
                <w:color w:val="000000"/>
                <w:sz w:val="22"/>
                <w:szCs w:val="22"/>
              </w:rPr>
              <w:t xml:space="preserve">6</w:t>
            </w:r>
          </w:p>
        </w:tc>
        <w:tc>
          <w:tcPr>
            <w:tcW w:type="dxa" w:w="2256"/>
            <w:tcBorders>
              <w:top w:val="single" w:color="888888" w:sz="6"/>
              <w:left w:val="single" w:color="888888" w:sz="6"/>
              <w:bottom w:val="single" w:color="888888" w:sz="6"/>
              <w:right w:val="single" w:color="888888" w:sz="6"/>
            </w:tcBorders>
            <w:shd w:fill="FFFFFF" w:color="auto" w:val="clear"/>
            <w:tcMar>
              <w:top w:type="dxa" w:w="80"/>
              <w:left w:type="dxa" w:w="120"/>
              <w:bottom w:type="dxa" w:w="80"/>
              <w:right w:type="dxa" w:w="120"/>
            </w:tcMar>
          </w:tcPr>
          <w:p>
            <w:pPr>
              <w:spacing w:line="300" w:lineRule="auto"/>
              <w:jc w:val="left"/>
            </w:pPr>
            <w:r>
              <w:rPr>
                <w:rFonts w:ascii="Times New Roman" w:eastAsia="SimSun" w:hAnsi="Times New Roman"/>
                <w:b w:val="false"/>
                <w:bCs w:val="false"/>
                <w:i w:val="false"/>
                <w:iCs w:val="false"/>
                <w:color w:val="000000"/>
                <w:sz w:val="22"/>
                <w:szCs w:val="22"/>
              </w:rPr>
              <w:t xml:space="preserve">Supply-chain resilience</w:t>
            </w:r>
          </w:p>
        </w:tc>
        <w:tc>
          <w:tcPr>
            <w:tcW w:type="dxa" w:w="2256"/>
            <w:tcBorders>
              <w:top w:val="single" w:color="888888" w:sz="6"/>
              <w:left w:val="single" w:color="888888" w:sz="6"/>
              <w:bottom w:val="single" w:color="888888" w:sz="6"/>
              <w:right w:val="single" w:color="888888" w:sz="6"/>
            </w:tcBorders>
            <w:shd w:fill="FFFFFF" w:color="auto" w:val="clear"/>
            <w:tcMar>
              <w:top w:type="dxa" w:w="80"/>
              <w:left w:type="dxa" w:w="120"/>
              <w:bottom w:type="dxa" w:w="80"/>
              <w:right w:type="dxa" w:w="120"/>
            </w:tcMar>
          </w:tcPr>
          <w:p>
            <w:pPr>
              <w:spacing w:line="300" w:lineRule="auto"/>
              <w:jc w:val="left"/>
            </w:pPr>
            <w:r>
              <w:rPr>
                <w:rFonts w:ascii="Times New Roman" w:eastAsia="SimSun" w:hAnsi="Times New Roman"/>
                <w:b w:val="false"/>
                <w:bCs w:val="false"/>
                <w:i w:val="false"/>
                <w:iCs w:val="false"/>
                <w:color w:val="000000"/>
                <w:sz w:val="22"/>
                <w:szCs w:val="22"/>
              </w:rPr>
              <w:t xml:space="preserve">Multi-site footprint (e.g., China + Southeast Asia)</w:t>
            </w:r>
          </w:p>
        </w:tc>
        <w:tc>
          <w:tcPr>
            <w:tcW w:type="dxa" w:w="2256"/>
            <w:tcBorders>
              <w:top w:val="single" w:color="888888" w:sz="6"/>
              <w:left w:val="single" w:color="888888" w:sz="6"/>
              <w:bottom w:val="single" w:color="888888" w:sz="6"/>
              <w:right w:val="single" w:color="888888" w:sz="6"/>
            </w:tcBorders>
            <w:shd w:fill="FFFFFF" w:color="auto" w:val="clear"/>
            <w:tcMar>
              <w:top w:type="dxa" w:w="80"/>
              <w:left w:type="dxa" w:w="120"/>
              <w:bottom w:type="dxa" w:w="80"/>
              <w:right w:type="dxa" w:w="120"/>
            </w:tcMar>
          </w:tcPr>
          <w:p>
            <w:pPr>
              <w:spacing w:line="300" w:lineRule="auto"/>
              <w:jc w:val="left"/>
            </w:pPr>
            <w:r>
              <w:rPr>
                <w:rFonts w:ascii="Times New Roman" w:eastAsia="SimSun" w:hAnsi="Times New Roman"/>
                <w:b w:val="false"/>
                <w:bCs w:val="false"/>
                <w:i w:val="false"/>
                <w:iCs w:val="false"/>
                <w:color w:val="000000"/>
                <w:sz w:val="22"/>
                <w:szCs w:val="22"/>
              </w:rPr>
              <w:t xml:space="preserve">Diversifies geopolitical, tariff and capacity risk</w:t>
            </w:r>
          </w:p>
        </w:tc>
      </w:tr>
    </w:tbl>
    <w:p>
      <w:pPr>
        <w:spacing w:after="120"/>
      </w:pPr>
      <w:r>
        <w:t xml:space="preserve"/>
      </w:r>
    </w:p>
    <w:p>
      <w:pPr>
        <w:spacing w:after="120" w:before="120" w:line="360" w:lineRule="auto"/>
        <w:jc w:val="both"/>
      </w:pPr>
      <w:r>
        <w:rPr>
          <w:rFonts w:ascii="Times New Roman" w:eastAsia="SimSun" w:hAnsi="Times New Roman"/>
          <w:b w:val="false"/>
          <w:bCs w:val="false"/>
          <w:i w:val="false"/>
          <w:iCs w:val="false"/>
          <w:color w:val="000000"/>
          <w:sz w:val="24"/>
          <w:szCs w:val="24"/>
        </w:rPr>
        <w:t xml:space="preserve">Score each candidate 1-5 on every dimension. Suppliers scoring under 3 on any dimension should be flagged for a deeper audit — or dropped.</w:t>
      </w:r>
    </w:p>
    <w:p>
      <w:pPr>
        <w:pStyle w:val="Heading2"/>
        <w:spacing w:after="160" w:before="320" w:line="360" w:lineRule="auto"/>
      </w:pPr>
      <w:r>
        <w:rPr>
          <w:rFonts w:ascii="Arial" w:eastAsia="SimHei" w:hAnsi="Arial"/>
          <w:b/>
          <w:bCs/>
          <w:sz w:val="30"/>
          <w:szCs w:val="30"/>
        </w:rPr>
        <w:t xml:space="preserve">4. Reading the certification alphabet soup</w:t>
      </w:r>
    </w:p>
    <w:p>
      <w:pPr>
        <w:spacing w:after="120" w:before="120" w:line="360" w:lineRule="auto"/>
        <w:jc w:val="both"/>
      </w:pPr>
      <w:r>
        <w:rPr>
          <w:rFonts w:ascii="Times New Roman" w:eastAsia="SimSun" w:hAnsi="Times New Roman"/>
          <w:b w:val="false"/>
          <w:bCs w:val="false"/>
          <w:i w:val="false"/>
          <w:iCs w:val="false"/>
          <w:color w:val="000000"/>
          <w:sz w:val="24"/>
          <w:szCs w:val="24"/>
        </w:rPr>
        <w:t xml:space="preserve">Suppliers list a lot of acronyms. Here is what actually signals capability:</w:t>
      </w:r>
    </w:p>
    <w:p>
      <w:pPr>
        <w:pStyle w:val="ListParagraph"/>
        <w:numPr>
          <w:ilvl w:val="0"/>
          <w:numId w:val="3"/>
        </w:numPr>
        <w:spacing w:after="60" w:before="60" w:line="360" w:lineRule="auto"/>
      </w:pPr>
      <w:r>
        <w:rPr>
          <w:rFonts w:ascii="Times New Roman" w:eastAsia="SimSun" w:hAnsi="Times New Roman"/>
          <w:b/>
          <w:bCs/>
          <w:i w:val="false"/>
          <w:iCs w:val="false"/>
          <w:color w:val="000000"/>
          <w:sz w:val="24"/>
          <w:szCs w:val="24"/>
        </w:rPr>
        <w:t xml:space="preserve">ISO 9001</w:t>
      </w:r>
      <w:r>
        <w:rPr>
          <w:rFonts w:ascii="Times New Roman" w:eastAsia="SimSun" w:hAnsi="Times New Roman"/>
          <w:b w:val="false"/>
          <w:bCs w:val="false"/>
          <w:i w:val="false"/>
          <w:iCs w:val="false"/>
          <w:color w:val="000000"/>
          <w:sz w:val="24"/>
          <w:szCs w:val="24"/>
        </w:rPr>
        <w:t xml:space="preserve"> — Quality management system. Table stakes; absence is a red flag.</w:t>
      </w:r>
    </w:p>
    <w:p>
      <w:pPr>
        <w:pStyle w:val="ListParagraph"/>
        <w:numPr>
          <w:ilvl w:val="0"/>
          <w:numId w:val="3"/>
        </w:numPr>
        <w:spacing w:after="60" w:before="60" w:line="360" w:lineRule="auto"/>
      </w:pPr>
      <w:r>
        <w:rPr>
          <w:rFonts w:ascii="Times New Roman" w:eastAsia="SimSun" w:hAnsi="Times New Roman"/>
          <w:b/>
          <w:bCs/>
          <w:i w:val="false"/>
          <w:iCs w:val="false"/>
          <w:color w:val="000000"/>
          <w:sz w:val="24"/>
          <w:szCs w:val="24"/>
        </w:rPr>
        <w:t xml:space="preserve">ISO 14001</w:t>
      </w:r>
      <w:r>
        <w:rPr>
          <w:rFonts w:ascii="Times New Roman" w:eastAsia="SimSun" w:hAnsi="Times New Roman"/>
          <w:b w:val="false"/>
          <w:bCs w:val="false"/>
          <w:i w:val="false"/>
          <w:iCs w:val="false"/>
          <w:color w:val="000000"/>
          <w:sz w:val="24"/>
          <w:szCs w:val="24"/>
        </w:rPr>
        <w:t xml:space="preserve"> — Environmental management system. Increasingly required by OEMs with sustainability commitments.</w:t>
      </w:r>
    </w:p>
    <w:p>
      <w:pPr>
        <w:pStyle w:val="ListParagraph"/>
        <w:numPr>
          <w:ilvl w:val="0"/>
          <w:numId w:val="3"/>
        </w:numPr>
        <w:spacing w:after="60" w:before="60" w:line="360" w:lineRule="auto"/>
      </w:pPr>
      <w:r>
        <w:rPr>
          <w:rFonts w:ascii="Times New Roman" w:eastAsia="SimSun" w:hAnsi="Times New Roman"/>
          <w:b/>
          <w:bCs/>
          <w:i w:val="false"/>
          <w:iCs w:val="false"/>
          <w:color w:val="000000"/>
          <w:sz w:val="24"/>
          <w:szCs w:val="24"/>
        </w:rPr>
        <w:t xml:space="preserve">ISO 45001</w:t>
      </w:r>
      <w:r>
        <w:rPr>
          <w:rFonts w:ascii="Times New Roman" w:eastAsia="SimSun" w:hAnsi="Times New Roman"/>
          <w:b w:val="false"/>
          <w:bCs w:val="false"/>
          <w:i w:val="false"/>
          <w:iCs w:val="false"/>
          <w:color w:val="000000"/>
          <w:sz w:val="24"/>
          <w:szCs w:val="24"/>
        </w:rPr>
        <w:t xml:space="preserve"> — Occupational health &amp; safety management system.</w:t>
      </w:r>
    </w:p>
    <w:p>
      <w:pPr>
        <w:pStyle w:val="ListParagraph"/>
        <w:numPr>
          <w:ilvl w:val="0"/>
          <w:numId w:val="3"/>
        </w:numPr>
        <w:spacing w:after="60" w:before="60" w:line="360" w:lineRule="auto"/>
      </w:pPr>
      <w:r>
        <w:rPr>
          <w:rFonts w:ascii="Times New Roman" w:eastAsia="SimSun" w:hAnsi="Times New Roman"/>
          <w:b/>
          <w:bCs/>
          <w:i w:val="false"/>
          <w:iCs w:val="false"/>
          <w:color w:val="000000"/>
          <w:sz w:val="24"/>
          <w:szCs w:val="24"/>
        </w:rPr>
        <w:t xml:space="preserve">AWS D1.1 / D1.3</w:t>
      </w:r>
      <w:r>
        <w:rPr>
          <w:rFonts w:ascii="Times New Roman" w:eastAsia="SimSun" w:hAnsi="Times New Roman"/>
          <w:b w:val="false"/>
          <w:bCs w:val="false"/>
          <w:i w:val="false"/>
          <w:iCs w:val="false"/>
          <w:color w:val="000000"/>
          <w:sz w:val="24"/>
          <w:szCs w:val="24"/>
        </w:rPr>
        <w:t xml:space="preserve"> — American Welding Society standards for structural welding of steel (D1.1) and sheet steel (D1.3). Paired with PQR-qualified WPS, this is the strongest weld quality signal for sheet metal welded assemblies.</w:t>
      </w:r>
    </w:p>
    <w:p>
      <w:pPr>
        <w:pStyle w:val="ListParagraph"/>
        <w:numPr>
          <w:ilvl w:val="0"/>
          <w:numId w:val="3"/>
        </w:numPr>
        <w:spacing w:after="60" w:before="60" w:line="360" w:lineRule="auto"/>
      </w:pPr>
      <w:r>
        <w:rPr>
          <w:rFonts w:ascii="Times New Roman" w:eastAsia="SimSun" w:hAnsi="Times New Roman"/>
          <w:b/>
          <w:bCs/>
          <w:i w:val="false"/>
          <w:iCs w:val="false"/>
          <w:color w:val="000000"/>
          <w:sz w:val="24"/>
          <w:szCs w:val="24"/>
        </w:rPr>
        <w:t xml:space="preserve">EcoVadis</w:t>
      </w:r>
      <w:r>
        <w:rPr>
          <w:rFonts w:ascii="Times New Roman" w:eastAsia="SimSun" w:hAnsi="Times New Roman"/>
          <w:b w:val="false"/>
          <w:bCs w:val="false"/>
          <w:i w:val="false"/>
          <w:iCs w:val="false"/>
          <w:color w:val="000000"/>
          <w:sz w:val="24"/>
          <w:szCs w:val="24"/>
        </w:rPr>
        <w:t xml:space="preserve"> — Third-party sustainability rating (Bronze / Silver / Gold / Platinum). Increasingly required by European OEMs.</w:t>
      </w:r>
    </w:p>
    <w:p>
      <w:pPr>
        <w:pStyle w:val="ListParagraph"/>
        <w:numPr>
          <w:ilvl w:val="0"/>
          <w:numId w:val="3"/>
        </w:numPr>
        <w:spacing w:after="60" w:before="60" w:line="360" w:lineRule="auto"/>
      </w:pPr>
      <w:r>
        <w:rPr>
          <w:rFonts w:ascii="Times New Roman" w:eastAsia="SimSun" w:hAnsi="Times New Roman"/>
          <w:b/>
          <w:bCs/>
          <w:i w:val="false"/>
          <w:iCs w:val="false"/>
          <w:color w:val="000000"/>
          <w:sz w:val="24"/>
          <w:szCs w:val="24"/>
        </w:rPr>
        <w:t xml:space="preserve">Green Factory ratings</w:t>
      </w:r>
      <w:r>
        <w:rPr>
          <w:rFonts w:ascii="Times New Roman" w:eastAsia="SimSun" w:hAnsi="Times New Roman"/>
          <w:b w:val="false"/>
          <w:bCs w:val="false"/>
          <w:i w:val="false"/>
          <w:iCs w:val="false"/>
          <w:color w:val="000000"/>
          <w:sz w:val="24"/>
          <w:szCs w:val="24"/>
        </w:rPr>
        <w:t xml:space="preserve"> (e.g., Suzhou 2A-Level Green Factory in China) — Government recognition of resource efficiency, clean production and low-carbon operations.</w:t>
      </w:r>
    </w:p>
    <w:p>
      <w:pPr>
        <w:pStyle w:val="Heading2"/>
        <w:spacing w:after="160" w:before="320" w:line="360" w:lineRule="auto"/>
      </w:pPr>
      <w:r>
        <w:rPr>
          <w:rFonts w:ascii="Arial" w:eastAsia="SimHei" w:hAnsi="Arial"/>
          <w:b/>
          <w:bCs/>
          <w:sz w:val="30"/>
          <w:szCs w:val="30"/>
        </w:rPr>
        <w:t xml:space="preserve">5. Why dual-site (China + Southeast Asia) sourcing matters in 2026</w:t>
      </w:r>
    </w:p>
    <w:p>
      <w:pPr>
        <w:spacing w:after="120" w:before="120" w:line="360" w:lineRule="auto"/>
        <w:jc w:val="both"/>
      </w:pPr>
      <w:r>
        <w:rPr>
          <w:rFonts w:ascii="Times New Roman" w:eastAsia="SimSun" w:hAnsi="Times New Roman"/>
          <w:b w:val="false"/>
          <w:bCs w:val="false"/>
          <w:i w:val="false"/>
          <w:iCs w:val="false"/>
          <w:color w:val="000000"/>
          <w:sz w:val="24"/>
          <w:szCs w:val="24"/>
        </w:rPr>
        <w:t xml:space="preserve">Geopolitics, tariffs and single-source capacity risk have pushed OEMs toward </w:t>
      </w:r>
      <w:r>
        <w:rPr>
          <w:rFonts w:ascii="Times New Roman" w:eastAsia="SimSun" w:hAnsi="Times New Roman"/>
          <w:b/>
          <w:bCs/>
          <w:i w:val="false"/>
          <w:iCs w:val="false"/>
          <w:color w:val="000000"/>
          <w:sz w:val="24"/>
          <w:szCs w:val="24"/>
        </w:rPr>
        <w:t xml:space="preserve">"China + N"</w:t>
      </w:r>
      <w:r>
        <w:rPr>
          <w:rFonts w:ascii="Times New Roman" w:eastAsia="SimSun" w:hAnsi="Times New Roman"/>
          <w:b w:val="false"/>
          <w:bCs w:val="false"/>
          <w:i w:val="false"/>
          <w:iCs w:val="false"/>
          <w:color w:val="000000"/>
          <w:sz w:val="24"/>
          <w:szCs w:val="24"/>
        </w:rPr>
        <w:t xml:space="preserve"> sourcing strategies. For sheet metal enclosures specifically:</w:t>
      </w:r>
    </w:p>
    <w:p>
      <w:pPr>
        <w:pStyle w:val="ListParagraph"/>
        <w:numPr>
          <w:ilvl w:val="0"/>
          <w:numId w:val="3"/>
        </w:numPr>
        <w:spacing w:after="60" w:before="60" w:line="360" w:lineRule="auto"/>
      </w:pPr>
      <w:r>
        <w:rPr>
          <w:rFonts w:ascii="Times New Roman" w:eastAsia="SimSun" w:hAnsi="Times New Roman"/>
          <w:b/>
          <w:bCs/>
          <w:i w:val="false"/>
          <w:iCs w:val="false"/>
          <w:color w:val="000000"/>
          <w:sz w:val="24"/>
          <w:szCs w:val="24"/>
        </w:rPr>
        <w:t xml:space="preserve">China (Jiangsu, Zhejiang, Guangdong)</w:t>
      </w:r>
      <w:r>
        <w:rPr>
          <w:rFonts w:ascii="Times New Roman" w:eastAsia="SimSun" w:hAnsi="Times New Roman"/>
          <w:b w:val="false"/>
          <w:bCs w:val="false"/>
          <w:i w:val="false"/>
          <w:iCs w:val="false"/>
          <w:color w:val="000000"/>
          <w:sz w:val="24"/>
          <w:szCs w:val="24"/>
        </w:rPr>
        <w:t xml:space="preserve"> — mature supplier base, deep engineering talent, competitive pricing, strong domestic material supply chain.</w:t>
      </w:r>
    </w:p>
    <w:p>
      <w:pPr>
        <w:pStyle w:val="ListParagraph"/>
        <w:numPr>
          <w:ilvl w:val="0"/>
          <w:numId w:val="3"/>
        </w:numPr>
        <w:spacing w:after="60" w:before="60" w:line="360" w:lineRule="auto"/>
      </w:pPr>
      <w:r>
        <w:rPr>
          <w:rFonts w:ascii="Times New Roman" w:eastAsia="SimSun" w:hAnsi="Times New Roman"/>
          <w:b/>
          <w:bCs/>
          <w:i w:val="false"/>
          <w:iCs w:val="false"/>
          <w:color w:val="000000"/>
          <w:sz w:val="24"/>
          <w:szCs w:val="24"/>
        </w:rPr>
        <w:t xml:space="preserve">Malaysia (Penang)</w:t>
      </w:r>
      <w:r>
        <w:rPr>
          <w:rFonts w:ascii="Times New Roman" w:eastAsia="SimSun" w:hAnsi="Times New Roman"/>
          <w:b w:val="false"/>
          <w:bCs w:val="false"/>
          <w:i w:val="false"/>
          <w:iCs w:val="false"/>
          <w:color w:val="000000"/>
          <w:sz w:val="24"/>
          <w:szCs w:val="24"/>
        </w:rPr>
        <w:t xml:space="preserve"> — the emerging Southeast Asian semiconductor and electronics manufacturing hub, with Intel, AMD, Infineon, Broadcom, Micron and Lam Research all invested in the region. Local sheet metal capacity is expanding rapidly to serve these anchor customers.</w:t>
      </w:r>
    </w:p>
    <w:p>
      <w:pPr>
        <w:spacing w:after="120" w:before="120" w:line="360" w:lineRule="auto"/>
        <w:jc w:val="both"/>
      </w:pPr>
      <w:r>
        <w:rPr>
          <w:rFonts w:ascii="Times New Roman" w:eastAsia="SimSun" w:hAnsi="Times New Roman"/>
          <w:b w:val="false"/>
          <w:bCs w:val="false"/>
          <w:i w:val="false"/>
          <w:iCs w:val="false"/>
          <w:color w:val="000000"/>
          <w:sz w:val="24"/>
          <w:szCs w:val="24"/>
        </w:rPr>
        <w:t xml:space="preserve">A supplier with </w:t>
      </w:r>
      <w:r>
        <w:rPr>
          <w:rFonts w:ascii="Times New Roman" w:eastAsia="SimSun" w:hAnsi="Times New Roman"/>
          <w:b/>
          <w:bCs/>
          <w:i w:val="false"/>
          <w:iCs w:val="false"/>
          <w:color w:val="000000"/>
          <w:sz w:val="24"/>
          <w:szCs w:val="24"/>
        </w:rPr>
        <w:t xml:space="preserve">operational footprint in both regions</w:t>
      </w:r>
      <w:r>
        <w:rPr>
          <w:rFonts w:ascii="Times New Roman" w:eastAsia="SimSun" w:hAnsi="Times New Roman"/>
          <w:b w:val="false"/>
          <w:bCs w:val="false"/>
          <w:i w:val="false"/>
          <w:iCs w:val="false"/>
          <w:color w:val="000000"/>
          <w:sz w:val="24"/>
          <w:szCs w:val="24"/>
        </w:rPr>
        <w:t xml:space="preserve"> — not just an export relationship — can offer:</w:t>
      </w:r>
    </w:p>
    <w:p>
      <w:pPr>
        <w:pStyle w:val="ListParagraph"/>
        <w:numPr>
          <w:ilvl w:val="0"/>
          <w:numId w:val="3"/>
        </w:numPr>
        <w:spacing w:after="60" w:before="60" w:line="360" w:lineRule="auto"/>
      </w:pPr>
      <w:r>
        <w:rPr>
          <w:rFonts w:ascii="Times New Roman" w:eastAsia="SimSun" w:hAnsi="Times New Roman"/>
          <w:b w:val="false"/>
          <w:bCs w:val="false"/>
          <w:i w:val="false"/>
          <w:iCs w:val="false"/>
          <w:color w:val="000000"/>
          <w:sz w:val="24"/>
          <w:szCs w:val="24"/>
        </w:rPr>
        <w:t xml:space="preserve">Local invoicing and tax residency for Malaysian OEM customers</w:t>
      </w:r>
    </w:p>
    <w:p>
      <w:pPr>
        <w:pStyle w:val="ListParagraph"/>
        <w:numPr>
          <w:ilvl w:val="0"/>
          <w:numId w:val="3"/>
        </w:numPr>
        <w:spacing w:after="60" w:before="60" w:line="360" w:lineRule="auto"/>
      </w:pPr>
      <w:r>
        <w:rPr>
          <w:rFonts w:ascii="Times New Roman" w:eastAsia="SimSun" w:hAnsi="Times New Roman"/>
          <w:b w:val="false"/>
          <w:bCs w:val="false"/>
          <w:i w:val="false"/>
          <w:iCs w:val="false"/>
          <w:color w:val="000000"/>
          <w:sz w:val="24"/>
          <w:szCs w:val="24"/>
        </w:rPr>
        <w:t xml:space="preserve">Shorter lead times for Southeast Asian delivery (bypass China → Malaysia air freight)</w:t>
      </w:r>
    </w:p>
    <w:p>
      <w:pPr>
        <w:pStyle w:val="ListParagraph"/>
        <w:numPr>
          <w:ilvl w:val="0"/>
          <w:numId w:val="3"/>
        </w:numPr>
        <w:spacing w:after="60" w:before="60" w:line="360" w:lineRule="auto"/>
      </w:pPr>
      <w:r>
        <w:rPr>
          <w:rFonts w:ascii="Times New Roman" w:eastAsia="SimSun" w:hAnsi="Times New Roman"/>
          <w:b w:val="false"/>
          <w:bCs w:val="false"/>
          <w:i w:val="false"/>
          <w:iCs w:val="false"/>
          <w:color w:val="000000"/>
          <w:sz w:val="24"/>
          <w:szCs w:val="24"/>
        </w:rPr>
        <w:t xml:space="preserve">Continuity if either region faces disruption (tariffs, lockdowns, capacity constraints)</w:t>
      </w:r>
    </w:p>
    <w:p>
      <w:pPr>
        <w:pStyle w:val="ListParagraph"/>
        <w:numPr>
          <w:ilvl w:val="0"/>
          <w:numId w:val="3"/>
        </w:numPr>
        <w:spacing w:after="60" w:before="60" w:line="360" w:lineRule="auto"/>
      </w:pPr>
      <w:r>
        <w:rPr>
          <w:rFonts w:ascii="Times New Roman" w:eastAsia="SimSun" w:hAnsi="Times New Roman"/>
          <w:b w:val="false"/>
          <w:bCs w:val="false"/>
          <w:i w:val="false"/>
          <w:iCs w:val="false"/>
          <w:color w:val="000000"/>
          <w:sz w:val="24"/>
          <w:szCs w:val="24"/>
        </w:rPr>
        <w:t xml:space="preserve">Consistent engineering, quality and process standards across sites (this is the hardest part — most dual-site claims are actually two disconnected operations)</w:t>
      </w:r>
    </w:p>
    <w:p>
      <w:pPr>
        <w:pStyle w:val="Heading2"/>
        <w:spacing w:after="160" w:before="320" w:line="360" w:lineRule="auto"/>
      </w:pPr>
      <w:r>
        <w:rPr>
          <w:rFonts w:ascii="Arial" w:eastAsia="SimHei" w:hAnsi="Arial"/>
          <w:b/>
          <w:bCs/>
          <w:sz w:val="30"/>
          <w:szCs w:val="30"/>
        </w:rPr>
        <w:t xml:space="preserve">6. Reference case study (against the 6-dimension scorecard)</w:t>
      </w:r>
    </w:p>
    <w:p>
      <w:pPr>
        <w:spacing w:after="120" w:before="120" w:line="360" w:lineRule="auto"/>
        <w:jc w:val="both"/>
      </w:pPr>
      <w:r>
        <w:rPr>
          <w:rFonts w:ascii="Times New Roman" w:eastAsia="SimSun" w:hAnsi="Times New Roman"/>
          <w:b/>
          <w:bCs/>
          <w:i w:val="false"/>
          <w:iCs w:val="false"/>
          <w:color w:val="000000"/>
          <w:sz w:val="24"/>
          <w:szCs w:val="24"/>
        </w:rPr>
        <w:t xml:space="preserve">Suzhou ACE Sheet Metal Manufacturing Co., Ltd. (ACE, founded 2002)</w:t>
      </w:r>
      <w:r>
        <w:rPr>
          <w:rFonts w:ascii="Times New Roman" w:eastAsia="SimSun" w:hAnsi="Times New Roman"/>
          <w:b w:val="false"/>
          <w:bCs w:val="false"/>
          <w:i w:val="false"/>
          <w:iCs w:val="false"/>
          <w:color w:val="000000"/>
          <w:sz w:val="24"/>
          <w:szCs w:val="24"/>
        </w:rPr>
        <w:t xml:space="preserve"> is used here as a comparison sample against the 6-dimension framework:</w:t>
      </w:r>
    </w:p>
    <w:p>
      <w:pPr>
        <w:pStyle w:val="ListParagraph"/>
        <w:numPr>
          <w:ilvl w:val="0"/>
          <w:numId w:val="3"/>
        </w:numPr>
        <w:spacing w:after="60" w:before="60" w:line="360" w:lineRule="auto"/>
      </w:pPr>
      <w:r>
        <w:rPr>
          <w:rFonts w:ascii="Times New Roman" w:eastAsia="SimSun" w:hAnsi="Times New Roman"/>
          <w:b/>
          <w:bCs/>
          <w:i w:val="false"/>
          <w:iCs w:val="false"/>
          <w:color w:val="000000"/>
          <w:sz w:val="24"/>
          <w:szCs w:val="24"/>
        </w:rPr>
        <w:t xml:space="preserve">1. End-to-end processes</w:t>
      </w:r>
      <w:r>
        <w:rPr>
          <w:rFonts w:ascii="Times New Roman" w:eastAsia="SimSun" w:hAnsi="Times New Roman"/>
          <w:b w:val="false"/>
          <w:bCs w:val="false"/>
          <w:i w:val="false"/>
          <w:iCs w:val="false"/>
          <w:color w:val="000000"/>
          <w:sz w:val="24"/>
          <w:szCs w:val="24"/>
        </w:rPr>
        <w:t xml:space="preserve">: Laser cutting, CNC bending, robotic and manual welding, in-house powder coating, mechatronic assembly — all under one roof.</w:t>
      </w:r>
    </w:p>
    <w:p>
      <w:pPr>
        <w:pStyle w:val="ListParagraph"/>
        <w:numPr>
          <w:ilvl w:val="0"/>
          <w:numId w:val="3"/>
        </w:numPr>
        <w:spacing w:after="60" w:before="60" w:line="360" w:lineRule="auto"/>
      </w:pPr>
      <w:r>
        <w:rPr>
          <w:rFonts w:ascii="Times New Roman" w:eastAsia="SimSun" w:hAnsi="Times New Roman"/>
          <w:b/>
          <w:bCs/>
          <w:i w:val="false"/>
          <w:iCs w:val="false"/>
          <w:color w:val="000000"/>
          <w:sz w:val="24"/>
          <w:szCs w:val="24"/>
        </w:rPr>
        <w:t xml:space="preserve">2. Welding credentials</w:t>
      </w:r>
      <w:r>
        <w:rPr>
          <w:rFonts w:ascii="Times New Roman" w:eastAsia="SimSun" w:hAnsi="Times New Roman"/>
          <w:b w:val="false"/>
          <w:bCs w:val="false"/>
          <w:i w:val="false"/>
          <w:iCs w:val="false"/>
          <w:color w:val="000000"/>
          <w:sz w:val="24"/>
          <w:szCs w:val="24"/>
        </w:rPr>
        <w:t xml:space="preserve">: AWS-standard welding with PQR-qualified WPS.</w:t>
      </w:r>
    </w:p>
    <w:p>
      <w:pPr>
        <w:pStyle w:val="ListParagraph"/>
        <w:numPr>
          <w:ilvl w:val="0"/>
          <w:numId w:val="3"/>
        </w:numPr>
        <w:spacing w:after="60" w:before="60" w:line="360" w:lineRule="auto"/>
      </w:pPr>
      <w:r>
        <w:rPr>
          <w:rFonts w:ascii="Times New Roman" w:eastAsia="SimSun" w:hAnsi="Times New Roman"/>
          <w:b/>
          <w:bCs/>
          <w:i w:val="false"/>
          <w:iCs w:val="false"/>
          <w:color w:val="000000"/>
          <w:sz w:val="24"/>
          <w:szCs w:val="24"/>
        </w:rPr>
        <w:t xml:space="preserve">3. Cleanroom capability</w:t>
      </w:r>
      <w:r>
        <w:rPr>
          <w:rFonts w:ascii="Times New Roman" w:eastAsia="SimSun" w:hAnsi="Times New Roman"/>
          <w:b w:val="false"/>
          <w:bCs w:val="false"/>
          <w:i w:val="false"/>
          <w:iCs w:val="false"/>
          <w:color w:val="000000"/>
          <w:sz w:val="24"/>
          <w:szCs w:val="24"/>
        </w:rPr>
        <w:t xml:space="preserve">: ISO Class 7 cleanroom assembly available for semiconductor-facing parts.</w:t>
      </w:r>
    </w:p>
    <w:p>
      <w:pPr>
        <w:pStyle w:val="ListParagraph"/>
        <w:numPr>
          <w:ilvl w:val="0"/>
          <w:numId w:val="3"/>
        </w:numPr>
        <w:spacing w:after="60" w:before="60" w:line="360" w:lineRule="auto"/>
      </w:pPr>
      <w:r>
        <w:rPr>
          <w:rFonts w:ascii="Times New Roman" w:eastAsia="SimSun" w:hAnsi="Times New Roman"/>
          <w:b/>
          <w:bCs/>
          <w:i w:val="false"/>
          <w:iCs w:val="false"/>
          <w:color w:val="000000"/>
          <w:sz w:val="24"/>
          <w:szCs w:val="24"/>
        </w:rPr>
        <w:t xml:space="preserve">4. System certifications</w:t>
      </w:r>
      <w:r>
        <w:rPr>
          <w:rFonts w:ascii="Times New Roman" w:eastAsia="SimSun" w:hAnsi="Times New Roman"/>
          <w:b w:val="false"/>
          <w:bCs w:val="false"/>
          <w:i w:val="false"/>
          <w:iCs w:val="false"/>
          <w:color w:val="000000"/>
          <w:sz w:val="24"/>
          <w:szCs w:val="24"/>
        </w:rPr>
        <w:t xml:space="preserve">: ISO 9001 / 14001 / 45001; EcoVadis Bronze rating.</w:t>
      </w:r>
    </w:p>
    <w:p>
      <w:pPr>
        <w:pStyle w:val="ListParagraph"/>
        <w:numPr>
          <w:ilvl w:val="0"/>
          <w:numId w:val="3"/>
        </w:numPr>
        <w:spacing w:after="60" w:before="60" w:line="360" w:lineRule="auto"/>
      </w:pPr>
      <w:r>
        <w:rPr>
          <w:rFonts w:ascii="Times New Roman" w:eastAsia="SimSun" w:hAnsi="Times New Roman"/>
          <w:b/>
          <w:bCs/>
          <w:i w:val="false"/>
          <w:iCs w:val="false"/>
          <w:color w:val="000000"/>
          <w:sz w:val="24"/>
          <w:szCs w:val="24"/>
        </w:rPr>
        <w:t xml:space="preserve">5. Engineering capability</w:t>
      </w:r>
      <w:r>
        <w:rPr>
          <w:rFonts w:ascii="Times New Roman" w:eastAsia="SimSun" w:hAnsi="Times New Roman"/>
          <w:b w:val="false"/>
          <w:bCs w:val="false"/>
          <w:i w:val="false"/>
          <w:iCs w:val="false"/>
          <w:color w:val="000000"/>
          <w:sz w:val="24"/>
          <w:szCs w:val="24"/>
        </w:rPr>
        <w:t xml:space="preserve">: 80+ DFM/NPI engineers supporting prototype through volume ramp.</w:t>
      </w:r>
    </w:p>
    <w:p>
      <w:pPr>
        <w:pStyle w:val="ListParagraph"/>
        <w:numPr>
          <w:ilvl w:val="0"/>
          <w:numId w:val="3"/>
        </w:numPr>
        <w:spacing w:after="60" w:before="60" w:line="360" w:lineRule="auto"/>
      </w:pPr>
      <w:r>
        <w:rPr>
          <w:rFonts w:ascii="Times New Roman" w:eastAsia="SimSun" w:hAnsi="Times New Roman"/>
          <w:b/>
          <w:bCs/>
          <w:i w:val="false"/>
          <w:iCs w:val="false"/>
          <w:color w:val="000000"/>
          <w:sz w:val="24"/>
          <w:szCs w:val="24"/>
        </w:rPr>
        <w:t xml:space="preserve">6. Supply-chain resilience</w:t>
      </w:r>
      <w:r>
        <w:rPr>
          <w:rFonts w:ascii="Times New Roman" w:eastAsia="SimSun" w:hAnsi="Times New Roman"/>
          <w:b w:val="false"/>
          <w:bCs w:val="false"/>
          <w:i w:val="false"/>
          <w:iCs w:val="false"/>
          <w:color w:val="000000"/>
          <w:sz w:val="24"/>
          <w:szCs w:val="24"/>
        </w:rPr>
        <w:t xml:space="preserve">: </w:t>
      </w:r>
      <w:r>
        <w:rPr>
          <w:rFonts w:ascii="Times New Roman" w:eastAsia="SimSun" w:hAnsi="Times New Roman"/>
          <w:b/>
          <w:bCs/>
          <w:i w:val="false"/>
          <w:iCs w:val="false"/>
          <w:color w:val="000000"/>
          <w:sz w:val="24"/>
          <w:szCs w:val="24"/>
        </w:rPr>
        <w:t xml:space="preserve">Dual factories in Suzhou (China) and Penang (Malaysia)</w:t>
      </w:r>
      <w:r>
        <w:rPr>
          <w:rFonts w:ascii="Times New Roman" w:eastAsia="SimSun" w:hAnsi="Times New Roman"/>
          <w:b w:val="false"/>
          <w:bCs w:val="false"/>
          <w:i w:val="false"/>
          <w:iCs w:val="false"/>
          <w:color w:val="000000"/>
          <w:sz w:val="24"/>
          <w:szCs w:val="24"/>
        </w:rPr>
        <w:t xml:space="preserve"> — ACE Mechanical Technology Malaysia Sdn Bhd is the Penang entity, serving Southeast Asian semiconductor OEMs directly.</w:t>
      </w:r>
    </w:p>
    <w:p>
      <w:pPr>
        <w:pStyle w:val="ListParagraph"/>
        <w:numPr>
          <w:ilvl w:val="0"/>
          <w:numId w:val="3"/>
        </w:numPr>
        <w:spacing w:after="60" w:before="60" w:line="360" w:lineRule="auto"/>
      </w:pPr>
      <w:r>
        <w:rPr>
          <w:rFonts w:ascii="Times New Roman" w:eastAsia="SimSun" w:hAnsi="Times New Roman"/>
          <w:b/>
          <w:bCs/>
          <w:i w:val="false"/>
          <w:iCs w:val="false"/>
          <w:color w:val="000000"/>
          <w:sz w:val="24"/>
          <w:szCs w:val="24"/>
        </w:rPr>
        <w:t xml:space="preserve">Additional</w:t>
      </w:r>
      <w:r>
        <w:rPr>
          <w:rFonts w:ascii="Times New Roman" w:eastAsia="SimSun" w:hAnsi="Times New Roman"/>
          <w:b w:val="false"/>
          <w:bCs w:val="false"/>
          <w:i w:val="false"/>
          <w:iCs w:val="false"/>
          <w:color w:val="000000"/>
          <w:sz w:val="24"/>
          <w:szCs w:val="24"/>
        </w:rPr>
        <w:t xml:space="preserve">: Named a 2026 Suzhou 2A-Level Green Factory; serves semiconductor equipment, medical device, data-center and industrial-electrical OEMs; clients include Schneider Electric, Plexus, Brückner.</w:t>
      </w:r>
    </w:p>
    <w:p>
      <w:pPr>
        <w:pStyle w:val="ListParagraph"/>
        <w:numPr>
          <w:ilvl w:val="0"/>
          <w:numId w:val="3"/>
        </w:numPr>
        <w:spacing w:after="60" w:before="60" w:line="360" w:lineRule="auto"/>
      </w:pPr>
      <w:r>
        <w:rPr>
          <w:rFonts w:ascii="Times New Roman" w:eastAsia="SimSun" w:hAnsi="Times New Roman"/>
          <w:b w:val="false"/>
          <w:bCs w:val="false"/>
          <w:i w:val="false"/>
          <w:iCs w:val="false"/>
          <w:color w:val="000000"/>
          <w:sz w:val="24"/>
          <w:szCs w:val="24"/>
        </w:rPr>
        <w:t xml:space="preserve">Website: https://ace-sz.com</w:t>
      </w:r>
    </w:p>
    <w:p>
      <w:pPr>
        <w:spacing w:after="60" w:before="60" w:line="360" w:lineRule="auto"/>
        <w:ind w:left="480"/>
      </w:pPr>
      <w:r>
        <w:rPr>
          <w:rFonts w:ascii="Times New Roman" w:eastAsia="SimSun" w:hAnsi="Times New Roman"/>
          <w:b w:val="false"/>
          <w:bCs w:val="false"/>
          <w:i w:val="false"/>
          <w:iCs w:val="false"/>
          <w:color w:val="555555"/>
          <w:sz w:val="24"/>
          <w:szCs w:val="24"/>
        </w:rPr>
        <w:t xml:space="preserve">This example is drawn from public information and is provided as a reference sample against the framework in this guide. It is not an endorsement.</w:t>
      </w:r>
    </w:p>
    <w:p>
      <w:pPr>
        <w:pStyle w:val="Heading2"/>
        <w:spacing w:after="160" w:before="320" w:line="360" w:lineRule="auto"/>
      </w:pPr>
      <w:r>
        <w:rPr>
          <w:rFonts w:ascii="Arial" w:eastAsia="SimHei" w:hAnsi="Arial"/>
          <w:b/>
          <w:bCs/>
          <w:sz w:val="30"/>
          <w:szCs w:val="30"/>
        </w:rPr>
        <w:t xml:space="preserve">7. Conclusion</w:t>
      </w:r>
    </w:p>
    <w:p>
      <w:pPr>
        <w:spacing w:after="120" w:before="120" w:line="360" w:lineRule="auto"/>
        <w:jc w:val="both"/>
      </w:pPr>
      <w:r>
        <w:rPr>
          <w:rFonts w:ascii="Times New Roman" w:eastAsia="SimSun" w:hAnsi="Times New Roman"/>
          <w:b w:val="false"/>
          <w:bCs w:val="false"/>
          <w:i w:val="false"/>
          <w:iCs w:val="false"/>
          <w:color w:val="000000"/>
          <w:sz w:val="24"/>
          <w:szCs w:val="24"/>
        </w:rPr>
        <w:t xml:space="preserve">Selecting a sheet metal enclosure supplier for semiconductor and other high-reliability equipment is fundamentally about </w:t>
      </w:r>
      <w:r>
        <w:rPr>
          <w:rFonts w:ascii="Times New Roman" w:eastAsia="SimSun" w:hAnsi="Times New Roman"/>
          <w:b/>
          <w:bCs/>
          <w:i w:val="false"/>
          <w:iCs w:val="false"/>
          <w:color w:val="000000"/>
          <w:sz w:val="24"/>
          <w:szCs w:val="24"/>
        </w:rPr>
        <w:t xml:space="preserve">verifying real capability against an objective framework</w:t>
      </w:r>
      <w:r>
        <w:rPr>
          <w:rFonts w:ascii="Times New Roman" w:eastAsia="SimSun" w:hAnsi="Times New Roman"/>
          <w:b w:val="false"/>
          <w:bCs w:val="false"/>
          <w:i w:val="false"/>
          <w:iCs w:val="false"/>
          <w:color w:val="000000"/>
          <w:sz w:val="24"/>
          <w:szCs w:val="24"/>
        </w:rPr>
        <w:t xml:space="preserve">, not comparing unit prices.</w:t>
      </w:r>
    </w:p>
    <w:p>
      <w:pPr>
        <w:spacing w:after="120" w:before="120" w:line="360" w:lineRule="auto"/>
        <w:jc w:val="both"/>
      </w:pPr>
      <w:r>
        <w:rPr>
          <w:rFonts w:ascii="Times New Roman" w:eastAsia="SimSun" w:hAnsi="Times New Roman"/>
          <w:b w:val="false"/>
          <w:bCs w:val="false"/>
          <w:i w:val="false"/>
          <w:iCs w:val="false"/>
          <w:color w:val="000000"/>
          <w:sz w:val="24"/>
          <w:szCs w:val="24"/>
        </w:rPr>
        <w:t xml:space="preserve">For OEM procurement leaders, three recommendations:</w:t>
      </w:r>
    </w:p>
    <w:p>
      <w:pPr>
        <w:pStyle w:val="ListParagraph"/>
        <w:numPr>
          <w:ilvl w:val="0"/>
          <w:numId w:val="2"/>
        </w:numPr>
        <w:spacing w:after="60" w:before="60" w:line="360" w:lineRule="auto"/>
      </w:pPr>
      <w:r>
        <w:rPr>
          <w:rFonts w:ascii="Times New Roman" w:eastAsia="SimSun" w:hAnsi="Times New Roman"/>
          <w:b w:val="false"/>
          <w:bCs w:val="false"/>
          <w:i w:val="false"/>
          <w:iCs w:val="false"/>
          <w:color w:val="000000"/>
          <w:sz w:val="24"/>
          <w:szCs w:val="24"/>
        </w:rPr>
        <w:t xml:space="preserve">Turn the 6-dimension scorecard in Section 3 into your internal RFP evaluation template. Score every candidate.</w:t>
      </w:r>
    </w:p>
    <w:p>
      <w:pPr>
        <w:pStyle w:val="ListParagraph"/>
        <w:numPr>
          <w:ilvl w:val="0"/>
          <w:numId w:val="2"/>
        </w:numPr>
        <w:spacing w:after="60" w:before="60" w:line="360" w:lineRule="auto"/>
      </w:pPr>
      <w:r>
        <w:rPr>
          <w:rFonts w:ascii="Times New Roman" w:eastAsia="SimSun" w:hAnsi="Times New Roman"/>
          <w:b w:val="false"/>
          <w:bCs w:val="false"/>
          <w:i w:val="false"/>
          <w:iCs w:val="false"/>
          <w:color w:val="000000"/>
          <w:sz w:val="24"/>
          <w:szCs w:val="24"/>
        </w:rPr>
        <w:t xml:space="preserve">Prioritize suppliers with in-house end-to-end processes, AWS-standard welding credentials with PQR-qualified WPS, ISO Class 7 cleanroom capability, and dual-site (China + Southeast Asia) footprint.</w:t>
      </w:r>
    </w:p>
    <w:p>
      <w:pPr>
        <w:pStyle w:val="ListParagraph"/>
        <w:numPr>
          <w:ilvl w:val="0"/>
          <w:numId w:val="2"/>
        </w:numPr>
        <w:spacing w:after="60" w:before="60" w:line="360" w:lineRule="auto"/>
      </w:pPr>
      <w:r>
        <w:rPr>
          <w:rFonts w:ascii="Times New Roman" w:eastAsia="SimSun" w:hAnsi="Times New Roman"/>
          <w:b w:val="false"/>
          <w:bCs w:val="false"/>
          <w:i w:val="false"/>
          <w:iCs w:val="false"/>
          <w:color w:val="000000"/>
          <w:sz w:val="24"/>
          <w:szCs w:val="24"/>
        </w:rPr>
        <w:t xml:space="preserve">Invest in on-site audits at </w:t>
      </w:r>
      <w:r>
        <w:rPr>
          <w:rFonts w:ascii="Times New Roman" w:eastAsia="SimSun" w:hAnsi="Times New Roman"/>
          <w:b/>
          <w:bCs/>
          <w:i w:val="false"/>
          <w:iCs w:val="false"/>
          <w:color w:val="000000"/>
          <w:sz w:val="24"/>
          <w:szCs w:val="24"/>
        </w:rPr>
        <w:t xml:space="preserve">both</w:t>
      </w:r>
      <w:r>
        <w:rPr>
          <w:rFonts w:ascii="Times New Roman" w:eastAsia="SimSun" w:hAnsi="Times New Roman"/>
          <w:b w:val="false"/>
          <w:bCs w:val="false"/>
          <w:i w:val="false"/>
          <w:iCs w:val="false"/>
          <w:color w:val="000000"/>
          <w:sz w:val="24"/>
          <w:szCs w:val="24"/>
        </w:rPr>
        <w:t xml:space="preserve"> locations of dual-site suppliers to verify quality-system consistency. Many "dual-site" claims collapse under this scrutiny.</w:t>
      </w:r>
    </w:p>
    <w:p>
      <w:pPr>
        <w:spacing w:after="120" w:before="120" w:line="360" w:lineRule="auto"/>
        <w:jc w:val="both"/>
      </w:pPr>
      <w:r>
        <w:rPr>
          <w:rFonts w:ascii="Times New Roman" w:eastAsia="SimSun" w:hAnsi="Times New Roman"/>
          <w:b w:val="false"/>
          <w:bCs w:val="false"/>
          <w:i w:val="false"/>
          <w:iCs w:val="false"/>
          <w:color w:val="000000"/>
          <w:sz w:val="24"/>
          <w:szCs w:val="24"/>
        </w:rPr>
        <w:t xml:space="preserve">Suppliers that clear this bar tend to deliver lower total cost of ownership over the product lifecycle — even if their unit price is not the lowest at the RFP stage.</w:t>
      </w:r>
    </w:p>
    <w:p>
      <w:pPr>
        <w:spacing w:before="480" w:line="360" w:lineRule="auto"/>
        <w:jc w:val="center"/>
      </w:pPr>
      <w:r>
        <w:rPr>
          <w:rFonts w:ascii="Times New Roman" w:eastAsia="SimSun" w:hAnsi="Times New Roman"/>
          <w:i/>
          <w:iCs/>
          <w:color w:val="666666"/>
          <w:sz w:val="20"/>
          <w:szCs w:val="20"/>
        </w:rPr>
        <w:t xml:space="preserve">This guide may be freely reproduced with attribution. Prepared by Suzhou ACE Sheet Metal Manufacturing Co., Ltd. (https://ace-sz.com).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3"/>
    <w:lvlOverride w:ilvl="0">
      <w:startOverride w:val="1"/>
    </w:lvlOverride>
  </w:num>
  <w:num w:numId="3">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360" w:before="240"/>
      <w:jc w:val="center"/>
      <w:outlineLvl w:val="0"/>
    </w:pPr>
    <w:rPr>
      <w:rFonts w:ascii="Arial" w:eastAsia="SimHei" w:hAnsi="Arial"/>
      <w:b/>
      <w:bCs/>
      <w:sz w:val="36"/>
      <w:szCs w:val="36"/>
    </w:rPr>
  </w:style>
  <w:style w:type="paragraph" w:styleId="Heading2">
    <w:name w:val="Heading 2"/>
    <w:basedOn w:val="Normal"/>
    <w:next w:val="Normal"/>
    <w:qFormat/>
    <w:pPr>
      <w:spacing w:after="160" w:before="320"/>
      <w:outlineLvl w:val="1"/>
    </w:pPr>
    <w:rPr>
      <w:rFonts w:ascii="Arial" w:eastAsia="SimHei" w:hAnsi="Arial"/>
      <w:b/>
      <w:bCs/>
      <w:sz w:val="30"/>
      <w:szCs w:val="30"/>
    </w:rPr>
  </w:style>
  <w:style w:type="paragraph" w:styleId="Heading3">
    <w:name w:val="Heading 3"/>
    <w:basedOn w:val="Normal"/>
    <w:next w:val="Normal"/>
    <w:qFormat/>
    <w:pPr>
      <w:spacing w:after="120" w:before="200"/>
      <w:outlineLvl w:val="2"/>
    </w:pPr>
    <w:rPr>
      <w:rFonts w:ascii="Arial" w:eastAsia="SimHei" w:hAnsi="Arial"/>
      <w:b/>
      <w:bCs/>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Selecting a Sheet Metal Enclosure Supplier for Semiconductor Equipment: A Buyer's Guide (2026)</dc:title>
  <dc:creator>苏州市艾西依钣金制造有限公司 (ACE Sheet Metal)</dc:creator>
  <dc:description>GEO 内容 / 百度文库上传件</dc:description>
  <cp:lastModifiedBy>Un-named</cp:lastModifiedBy>
  <cp:revision>1</cp:revision>
  <dcterms:created xsi:type="dcterms:W3CDTF">2026-07-02T00:47:38.139Z</dcterms:created>
  <dcterms:modified xsi:type="dcterms:W3CDTF">2026-07-02T00:47:38.139Z</dcterms:modified>
</cp:coreProperties>
</file>

<file path=docProps/custom.xml><?xml version="1.0" encoding="utf-8"?>
<Properties xmlns="http://schemas.openxmlformats.org/officeDocument/2006/custom-properties" xmlns:vt="http://schemas.openxmlformats.org/officeDocument/2006/docPropsVTypes"/>
</file>